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5FD1" w:rsidRPr="00675FD1" w:rsidRDefault="00675FD1" w:rsidP="00675FD1">
      <w:pPr>
        <w:pStyle w:val="Textoindependiente"/>
        <w:widowControl/>
        <w:tabs>
          <w:tab w:val="left" w:pos="6379"/>
        </w:tabs>
        <w:suppressAutoHyphens w:val="0"/>
        <w:ind w:left="3402" w:right="2268" w:hanging="992"/>
        <w:rPr>
          <w:rFonts w:cs="Tahoma"/>
          <w:i/>
          <w:sz w:val="20"/>
        </w:rPr>
      </w:pPr>
      <w:r w:rsidRPr="00675FD1">
        <w:rPr>
          <w:rFonts w:cs="Tahoma"/>
          <w:b/>
          <w:i/>
          <w:sz w:val="20"/>
        </w:rPr>
        <w:t>Sumilla</w:t>
      </w:r>
      <w:r w:rsidRPr="00675FD1">
        <w:rPr>
          <w:rFonts w:cs="Tahoma"/>
          <w:i/>
          <w:sz w:val="20"/>
        </w:rPr>
        <w:t xml:space="preserve">: </w:t>
      </w:r>
      <w:r w:rsidRPr="00675FD1">
        <w:rPr>
          <w:rFonts w:cs="Tahoma"/>
          <w:i/>
          <w:sz w:val="20"/>
        </w:rPr>
        <w:tab/>
        <w:t xml:space="preserve">Para la configuración del supuesto de presentación de documentación falsa, se requiere previamente acreditar su falsedad, esto es que el documento no haya sido válidamente expedido por el órgano o agente emisor o que, siendo válidamente expedido, hayan sido adulterado en su contenido.  </w:t>
      </w:r>
    </w:p>
    <w:p w:rsidR="00675FD1" w:rsidRPr="00675FD1" w:rsidRDefault="00675FD1" w:rsidP="00675FD1">
      <w:pPr>
        <w:pStyle w:val="Textoindependiente"/>
        <w:widowControl/>
        <w:tabs>
          <w:tab w:val="left" w:pos="6237"/>
          <w:tab w:val="left" w:pos="6521"/>
        </w:tabs>
        <w:suppressAutoHyphens w:val="0"/>
        <w:ind w:left="3686" w:right="2410" w:hanging="992"/>
        <w:rPr>
          <w:rFonts w:cs="Tahoma"/>
          <w:sz w:val="20"/>
        </w:rPr>
      </w:pPr>
      <w:r w:rsidRPr="00675FD1">
        <w:rPr>
          <w:rFonts w:cs="Tahoma"/>
          <w:i/>
          <w:sz w:val="20"/>
        </w:rPr>
        <w:t xml:space="preserve">  </w:t>
      </w:r>
      <w:r w:rsidRPr="00675FD1">
        <w:rPr>
          <w:rFonts w:cs="Tahoma"/>
          <w:sz w:val="20"/>
        </w:rPr>
        <w:t xml:space="preserve"> </w:t>
      </w:r>
    </w:p>
    <w:p w:rsidR="00675FD1" w:rsidRPr="00675FD1" w:rsidRDefault="004B3DC2" w:rsidP="00675FD1">
      <w:pPr>
        <w:pStyle w:val="Textoindependiente3"/>
        <w:spacing w:after="0"/>
        <w:ind w:left="4956" w:firstLine="84"/>
        <w:jc w:val="both"/>
        <w:rPr>
          <w:rFonts w:ascii="Tahoma" w:hAnsi="Tahoma" w:cs="Tahoma"/>
          <w:b/>
          <w:sz w:val="20"/>
          <w:szCs w:val="20"/>
        </w:rPr>
      </w:pPr>
      <w:r>
        <w:rPr>
          <w:rFonts w:ascii="Tahoma" w:hAnsi="Tahoma" w:cs="Tahoma"/>
          <w:b/>
          <w:sz w:val="20"/>
          <w:szCs w:val="20"/>
        </w:rPr>
        <w:t xml:space="preserve">           </w:t>
      </w:r>
      <w:r w:rsidR="00675FD1" w:rsidRPr="00675FD1">
        <w:rPr>
          <w:rFonts w:ascii="Tahoma" w:hAnsi="Tahoma" w:cs="Tahoma"/>
          <w:b/>
          <w:sz w:val="20"/>
          <w:szCs w:val="20"/>
        </w:rPr>
        <w:t xml:space="preserve">Lima,  </w:t>
      </w:r>
      <w:r>
        <w:rPr>
          <w:rFonts w:ascii="Tahoma" w:hAnsi="Tahoma" w:cs="Tahoma"/>
          <w:b/>
          <w:sz w:val="20"/>
          <w:szCs w:val="20"/>
        </w:rPr>
        <w:t>03 de Febrero de 2011</w:t>
      </w:r>
    </w:p>
    <w:p w:rsidR="00675FD1" w:rsidRPr="00675FD1" w:rsidRDefault="00675FD1" w:rsidP="00675FD1">
      <w:pPr>
        <w:pStyle w:val="Textoindependiente"/>
        <w:tabs>
          <w:tab w:val="left" w:pos="540"/>
        </w:tabs>
        <w:rPr>
          <w:rFonts w:cs="Tahoma"/>
          <w:b/>
          <w:sz w:val="20"/>
          <w:lang w:val="es-PE"/>
        </w:rPr>
      </w:pPr>
    </w:p>
    <w:p w:rsidR="00675FD1" w:rsidRPr="00675FD1" w:rsidRDefault="00675FD1" w:rsidP="00675FD1">
      <w:pPr>
        <w:jc w:val="both"/>
        <w:rPr>
          <w:rFonts w:ascii="Tahoma" w:hAnsi="Tahoma" w:cs="Tahoma"/>
        </w:rPr>
      </w:pPr>
      <w:r w:rsidRPr="00675FD1">
        <w:rPr>
          <w:rFonts w:ascii="Tahoma" w:hAnsi="Tahoma" w:cs="Tahoma"/>
          <w:b/>
        </w:rPr>
        <w:t>Visto</w:t>
      </w:r>
      <w:r w:rsidRPr="00675FD1">
        <w:rPr>
          <w:rFonts w:ascii="Tahoma" w:hAnsi="Tahoma" w:cs="Tahoma"/>
        </w:rPr>
        <w:t xml:space="preserve"> en sesión de fecha </w:t>
      </w:r>
      <w:r>
        <w:rPr>
          <w:rFonts w:ascii="Tahoma" w:hAnsi="Tahoma" w:cs="Tahoma"/>
        </w:rPr>
        <w:t>31</w:t>
      </w:r>
      <w:r w:rsidRPr="00675FD1">
        <w:rPr>
          <w:rFonts w:ascii="Tahoma" w:hAnsi="Tahoma" w:cs="Tahoma"/>
        </w:rPr>
        <w:t xml:space="preserve"> de </w:t>
      </w:r>
      <w:r>
        <w:rPr>
          <w:rFonts w:ascii="Tahoma" w:hAnsi="Tahoma" w:cs="Tahoma"/>
        </w:rPr>
        <w:t>enero de 2011</w:t>
      </w:r>
      <w:r w:rsidRPr="00675FD1">
        <w:rPr>
          <w:rFonts w:ascii="Tahoma" w:hAnsi="Tahoma" w:cs="Tahoma"/>
        </w:rPr>
        <w:t xml:space="preserve"> de la Primera Sala del Tribunal de Contrataciones del Estado el Expediente N° </w:t>
      </w:r>
      <w:r>
        <w:rPr>
          <w:rFonts w:ascii="Tahoma" w:hAnsi="Tahoma" w:cs="Tahoma"/>
        </w:rPr>
        <w:t>916</w:t>
      </w:r>
      <w:r w:rsidRPr="00675FD1">
        <w:rPr>
          <w:rFonts w:ascii="Tahoma" w:hAnsi="Tahoma" w:cs="Tahoma"/>
        </w:rPr>
        <w:t>.2010.TC, sobre el procedimi</w:t>
      </w:r>
      <w:r w:rsidR="00D64E12">
        <w:rPr>
          <w:rFonts w:ascii="Tahoma" w:hAnsi="Tahoma" w:cs="Tahoma"/>
        </w:rPr>
        <w:t xml:space="preserve">ento de aplicación de sanción al </w:t>
      </w:r>
      <w:r w:rsidR="00D64E12" w:rsidRPr="00675FD1">
        <w:rPr>
          <w:rFonts w:ascii="Tahoma" w:hAnsi="Tahoma" w:cs="Tahoma"/>
        </w:rPr>
        <w:t>Consorcio Torisol, conformado por las empresas EMDA CONSTRUCTORA S.R.L. y  EDIFICACIONES Y CONSTRUCTORES TORISOL S.A.C.</w:t>
      </w:r>
      <w:r w:rsidRPr="00675FD1">
        <w:rPr>
          <w:rFonts w:ascii="Tahoma" w:hAnsi="Tahoma" w:cs="Tahoma"/>
        </w:rPr>
        <w:t xml:space="preserve">, por supuesta responsabilidad en </w:t>
      </w:r>
      <w:r w:rsidRPr="00675FD1">
        <w:rPr>
          <w:rFonts w:ascii="Tahoma" w:hAnsi="Tahoma" w:cs="Tahoma"/>
          <w:lang w:val="es-MX"/>
        </w:rPr>
        <w:t xml:space="preserve">la presentación de documentos falsos o inexactos </w:t>
      </w:r>
      <w:r w:rsidR="00D64E12">
        <w:rPr>
          <w:rFonts w:ascii="Tahoma" w:hAnsi="Tahoma" w:cs="Tahoma"/>
          <w:lang w:val="es-MX"/>
        </w:rPr>
        <w:t xml:space="preserve">ante </w:t>
      </w:r>
      <w:r w:rsidR="00D64E12" w:rsidRPr="00675FD1">
        <w:rPr>
          <w:rFonts w:ascii="Tahoma" w:hAnsi="Tahoma" w:cs="Tahoma"/>
        </w:rPr>
        <w:t>la Municipalidad Distrital de Huariaca</w:t>
      </w:r>
      <w:r w:rsidR="00033D90">
        <w:rPr>
          <w:rFonts w:ascii="Tahoma" w:hAnsi="Tahoma" w:cs="Tahoma"/>
        </w:rPr>
        <w:t>,</w:t>
      </w:r>
      <w:r w:rsidR="00D64E12">
        <w:rPr>
          <w:rFonts w:ascii="Tahoma" w:hAnsi="Tahoma" w:cs="Tahoma"/>
        </w:rPr>
        <w:t xml:space="preserve"> en relación a la </w:t>
      </w:r>
      <w:r w:rsidR="00D64E12" w:rsidRPr="00675FD1">
        <w:rPr>
          <w:rFonts w:ascii="Tahoma" w:hAnsi="Tahoma" w:cs="Tahoma"/>
        </w:rPr>
        <w:t>Licitación Pública Nº 001-2009-MDH</w:t>
      </w:r>
      <w:r w:rsidR="00033D90">
        <w:rPr>
          <w:rFonts w:ascii="Tahoma" w:hAnsi="Tahoma" w:cs="Tahoma"/>
        </w:rPr>
        <w:t xml:space="preserve"> efectuada</w:t>
      </w:r>
      <w:r w:rsidR="00D64E12" w:rsidRPr="00675FD1">
        <w:rPr>
          <w:rFonts w:ascii="Tahoma" w:hAnsi="Tahoma" w:cs="Tahoma"/>
        </w:rPr>
        <w:t xml:space="preserve"> para la construcción de centro de salud de Huarica</w:t>
      </w:r>
      <w:r w:rsidRPr="00675FD1">
        <w:rPr>
          <w:rFonts w:ascii="Tahoma" w:hAnsi="Tahoma" w:cs="Tahoma"/>
          <w:bCs/>
        </w:rPr>
        <w:t xml:space="preserve">; </w:t>
      </w:r>
      <w:r w:rsidRPr="00675FD1">
        <w:rPr>
          <w:rFonts w:ascii="Tahoma" w:hAnsi="Tahoma" w:cs="Tahoma"/>
          <w:bCs/>
          <w:lang w:val="es-ES_tradnl"/>
        </w:rPr>
        <w:t>y,</w:t>
      </w:r>
      <w:r w:rsidRPr="00675FD1">
        <w:rPr>
          <w:rFonts w:ascii="Tahoma" w:hAnsi="Tahoma" w:cs="Tahoma"/>
          <w:color w:val="000000"/>
        </w:rPr>
        <w:t xml:space="preserve"> atendiendo a los siguientes:    </w:t>
      </w:r>
    </w:p>
    <w:p w:rsidR="00675FD1" w:rsidRPr="00675FD1" w:rsidRDefault="00675FD1" w:rsidP="00675FD1">
      <w:pPr>
        <w:pStyle w:val="Textoindependiente"/>
        <w:widowControl/>
        <w:tabs>
          <w:tab w:val="left" w:pos="540"/>
        </w:tabs>
        <w:suppressAutoHyphens w:val="0"/>
        <w:rPr>
          <w:rFonts w:cs="Tahoma"/>
          <w:sz w:val="20"/>
          <w:lang w:val="es-ES"/>
        </w:rPr>
      </w:pPr>
    </w:p>
    <w:p w:rsidR="00675FD1" w:rsidRPr="00675FD1" w:rsidRDefault="00675FD1" w:rsidP="00675FD1">
      <w:pPr>
        <w:jc w:val="both"/>
        <w:rPr>
          <w:rFonts w:ascii="Tahoma" w:hAnsi="Tahoma" w:cs="Tahoma"/>
          <w:b/>
          <w:shadow/>
        </w:rPr>
      </w:pPr>
      <w:r w:rsidRPr="00675FD1">
        <w:rPr>
          <w:rFonts w:ascii="Tahoma" w:hAnsi="Tahoma" w:cs="Tahoma"/>
          <w:b/>
          <w:shadow/>
        </w:rPr>
        <w:t>ANTECEDENTES:</w:t>
      </w:r>
    </w:p>
    <w:p w:rsidR="00675FD1" w:rsidRPr="00675FD1" w:rsidRDefault="00675FD1" w:rsidP="00675FD1">
      <w:pPr>
        <w:rPr>
          <w:rFonts w:ascii="Tahoma" w:hAnsi="Tahoma" w:cs="Tahoma"/>
          <w:b/>
          <w:bCs/>
        </w:rPr>
      </w:pPr>
    </w:p>
    <w:p w:rsidR="00675FD1" w:rsidRPr="00675FD1" w:rsidRDefault="00675FD1" w:rsidP="00675FD1">
      <w:pPr>
        <w:numPr>
          <w:ilvl w:val="0"/>
          <w:numId w:val="4"/>
        </w:numPr>
        <w:jc w:val="both"/>
        <w:rPr>
          <w:rFonts w:ascii="Tahoma" w:hAnsi="Tahoma" w:cs="Tahoma"/>
        </w:rPr>
      </w:pPr>
      <w:r w:rsidRPr="00675FD1">
        <w:rPr>
          <w:rFonts w:ascii="Tahoma" w:hAnsi="Tahoma" w:cs="Tahoma"/>
        </w:rPr>
        <w:t>El 05 de mayo de 2009, la Municipalidad Distrital de Huariaca, en adelante la Entidad,  convocó a la Licitación Pública Nº 001-2009-MDH para la construcción de centro de salud de Huarica, por un valor referencial ascendente a S/. 2, 359,191.70 Nuevos Soles.</w:t>
      </w:r>
    </w:p>
    <w:p w:rsidR="00675FD1" w:rsidRPr="00675FD1" w:rsidRDefault="00675FD1" w:rsidP="00675FD1">
      <w:pPr>
        <w:ind w:left="720"/>
        <w:rPr>
          <w:rFonts w:ascii="Tahoma" w:hAnsi="Tahoma" w:cs="Tahoma"/>
        </w:rPr>
      </w:pPr>
    </w:p>
    <w:p w:rsidR="00675FD1" w:rsidRPr="00675FD1" w:rsidRDefault="00675FD1" w:rsidP="00675FD1">
      <w:pPr>
        <w:numPr>
          <w:ilvl w:val="0"/>
          <w:numId w:val="4"/>
        </w:numPr>
        <w:jc w:val="both"/>
        <w:rPr>
          <w:rFonts w:ascii="Tahoma" w:hAnsi="Tahoma" w:cs="Tahoma"/>
        </w:rPr>
      </w:pPr>
      <w:r w:rsidRPr="00675FD1">
        <w:rPr>
          <w:rFonts w:ascii="Tahoma" w:hAnsi="Tahoma" w:cs="Tahoma"/>
        </w:rPr>
        <w:t>El 09 de junio de 2009, se realizó el acto de otorgamiento de la buena pro a favor del Consorcio Torisol, conformado por las empresas EMDA CONSTRUCTORA S.R.L. y  EDIFICACIONES Y CONSTRUCTORES TORISOL S.A.C., en adelante el Contratista.</w:t>
      </w:r>
    </w:p>
    <w:p w:rsidR="00675FD1" w:rsidRPr="00675FD1" w:rsidRDefault="00675FD1" w:rsidP="00675FD1">
      <w:pPr>
        <w:pStyle w:val="Prrafodelista"/>
        <w:rPr>
          <w:sz w:val="20"/>
          <w:szCs w:val="20"/>
        </w:rPr>
      </w:pPr>
    </w:p>
    <w:p w:rsidR="00675FD1" w:rsidRPr="00675FD1" w:rsidRDefault="00675FD1" w:rsidP="00675FD1">
      <w:pPr>
        <w:numPr>
          <w:ilvl w:val="0"/>
          <w:numId w:val="4"/>
        </w:numPr>
        <w:jc w:val="both"/>
        <w:rPr>
          <w:rFonts w:ascii="Tahoma" w:hAnsi="Tahoma" w:cs="Tahoma"/>
        </w:rPr>
      </w:pPr>
      <w:r w:rsidRPr="00675FD1">
        <w:rPr>
          <w:rFonts w:ascii="Tahoma" w:hAnsi="Tahoma" w:cs="Tahoma"/>
        </w:rPr>
        <w:t>Con Carta de fecha 026-2009-E&amp;C-TORISOL de fecha 18 de junio de 2009, el Contratista presentó los documentos necesarios para la firma del contrato, adjuntando, entre otros, las Cartas fianzas Nº 020048705-2009 y Nº 0300683526-2010 por un monto ascendente a S/. 235, 919.17 Nuevos Soles, emitidas por la institución financiera SCOTIABANK.</w:t>
      </w:r>
    </w:p>
    <w:p w:rsidR="00675FD1" w:rsidRPr="00675FD1" w:rsidRDefault="00675FD1" w:rsidP="00675FD1">
      <w:pPr>
        <w:ind w:left="720"/>
        <w:rPr>
          <w:rFonts w:ascii="Tahoma" w:hAnsi="Tahoma" w:cs="Tahoma"/>
        </w:rPr>
      </w:pPr>
    </w:p>
    <w:p w:rsidR="00675FD1" w:rsidRPr="00675FD1" w:rsidRDefault="00675FD1" w:rsidP="00675FD1">
      <w:pPr>
        <w:numPr>
          <w:ilvl w:val="0"/>
          <w:numId w:val="4"/>
        </w:numPr>
        <w:jc w:val="both"/>
        <w:rPr>
          <w:rFonts w:ascii="Tahoma" w:hAnsi="Tahoma" w:cs="Tahoma"/>
        </w:rPr>
      </w:pPr>
      <w:r w:rsidRPr="00675FD1">
        <w:rPr>
          <w:rFonts w:ascii="Tahoma" w:hAnsi="Tahoma" w:cs="Tahoma"/>
        </w:rPr>
        <w:t xml:space="preserve">El 20 de julio de 2009, el Contratista y la Entidad suscribieron el Contrato </w:t>
      </w:r>
      <w:r w:rsidRPr="00675FD1">
        <w:rPr>
          <w:rFonts w:ascii="Tahoma" w:hAnsi="Tahoma" w:cs="Tahoma"/>
        </w:rPr>
        <w:br/>
        <w:t>Nº 006-2009-MDH.</w:t>
      </w:r>
    </w:p>
    <w:p w:rsidR="00675FD1" w:rsidRPr="00675FD1" w:rsidRDefault="00675FD1" w:rsidP="00675FD1">
      <w:pPr>
        <w:pStyle w:val="Prrafodelista"/>
        <w:rPr>
          <w:sz w:val="20"/>
          <w:szCs w:val="20"/>
        </w:rPr>
      </w:pPr>
    </w:p>
    <w:p w:rsidR="00675FD1" w:rsidRPr="00675FD1" w:rsidRDefault="00675FD1" w:rsidP="00675FD1">
      <w:pPr>
        <w:numPr>
          <w:ilvl w:val="0"/>
          <w:numId w:val="4"/>
        </w:numPr>
        <w:jc w:val="both"/>
        <w:rPr>
          <w:rFonts w:ascii="Tahoma" w:hAnsi="Tahoma" w:cs="Tahoma"/>
        </w:rPr>
      </w:pPr>
      <w:r w:rsidRPr="00675FD1">
        <w:rPr>
          <w:rFonts w:ascii="Tahoma" w:hAnsi="Tahoma" w:cs="Tahoma"/>
        </w:rPr>
        <w:t>Con Carta Nº 001-2010-GM-MDH, de fecha 11 de febrero de 2010, la Entidad realizó la verificación posterior de los documentos presentados por el Contratista, para lo cual, solicitó al Banco Scotiabank que informe sobre la veracidad de las Cartas fianzas Nº 020048705-2009  y Nº 0300683526-2010.</w:t>
      </w:r>
    </w:p>
    <w:p w:rsidR="00675FD1" w:rsidRPr="00675FD1" w:rsidRDefault="00675FD1" w:rsidP="00675FD1">
      <w:pPr>
        <w:pStyle w:val="Prrafodelista"/>
        <w:rPr>
          <w:sz w:val="20"/>
          <w:szCs w:val="20"/>
        </w:rPr>
      </w:pPr>
    </w:p>
    <w:p w:rsidR="00675FD1" w:rsidRPr="00675FD1" w:rsidRDefault="00675FD1" w:rsidP="00675FD1">
      <w:pPr>
        <w:numPr>
          <w:ilvl w:val="0"/>
          <w:numId w:val="4"/>
        </w:numPr>
        <w:jc w:val="both"/>
        <w:rPr>
          <w:rFonts w:ascii="Tahoma" w:hAnsi="Tahoma" w:cs="Tahoma"/>
        </w:rPr>
      </w:pPr>
      <w:r w:rsidRPr="00675FD1">
        <w:rPr>
          <w:rFonts w:ascii="Tahoma" w:hAnsi="Tahoma" w:cs="Tahoma"/>
        </w:rPr>
        <w:t>Mediante Carta Nº 005-2010-SCOTIABANK/AJE de fecha 12 de febrero de 2010,  el Banco Scotiabank indicó a la Entidad que las referidas garantías no fueron emitidas por dicha institución financiera, por lo que se concluía que eran falsas.</w:t>
      </w:r>
    </w:p>
    <w:p w:rsidR="00675FD1" w:rsidRPr="00675FD1" w:rsidRDefault="00675FD1" w:rsidP="00675FD1">
      <w:pPr>
        <w:pStyle w:val="Prrafodelista"/>
        <w:ind w:left="2130"/>
        <w:rPr>
          <w:sz w:val="20"/>
          <w:szCs w:val="20"/>
        </w:rPr>
      </w:pPr>
    </w:p>
    <w:p w:rsidR="00675FD1" w:rsidRPr="00675FD1" w:rsidRDefault="00675FD1" w:rsidP="00675FD1">
      <w:pPr>
        <w:numPr>
          <w:ilvl w:val="0"/>
          <w:numId w:val="4"/>
        </w:numPr>
        <w:jc w:val="both"/>
        <w:rPr>
          <w:rFonts w:ascii="Tahoma" w:hAnsi="Tahoma" w:cs="Tahoma"/>
        </w:rPr>
      </w:pPr>
      <w:r w:rsidRPr="00675FD1">
        <w:rPr>
          <w:rFonts w:ascii="Tahoma" w:hAnsi="Tahoma" w:cs="Tahoma"/>
        </w:rPr>
        <w:t>Con Oficio Nº 161-2010-A-MDH de fecha 12 de julio de 2010, la Entidad puso en conocimiento de este colegiado los hechos antes expuestos.</w:t>
      </w:r>
    </w:p>
    <w:p w:rsidR="00675FD1" w:rsidRPr="00675FD1" w:rsidRDefault="00675FD1" w:rsidP="00675FD1">
      <w:pPr>
        <w:pStyle w:val="Prrafodelista"/>
        <w:rPr>
          <w:sz w:val="20"/>
          <w:szCs w:val="20"/>
        </w:rPr>
      </w:pPr>
    </w:p>
    <w:p w:rsidR="00675FD1" w:rsidRPr="00675FD1" w:rsidRDefault="00675FD1" w:rsidP="00675FD1">
      <w:pPr>
        <w:numPr>
          <w:ilvl w:val="0"/>
          <w:numId w:val="4"/>
        </w:numPr>
        <w:jc w:val="both"/>
        <w:rPr>
          <w:rFonts w:ascii="Tahoma" w:hAnsi="Tahoma" w:cs="Tahoma"/>
        </w:rPr>
      </w:pPr>
      <w:r w:rsidRPr="00675FD1">
        <w:rPr>
          <w:rFonts w:ascii="Tahoma" w:hAnsi="Tahoma" w:cs="Tahoma"/>
        </w:rPr>
        <w:lastRenderedPageBreak/>
        <w:t>De manera previa al inicio del procedimiento administrativo sancionador, se solicitó a la Entidad  remita copia del documento a través del cual el contratista remitió los documentos para la suscripción del contrato.</w:t>
      </w:r>
    </w:p>
    <w:p w:rsidR="00675FD1" w:rsidRPr="00675FD1" w:rsidRDefault="00675FD1" w:rsidP="00675FD1">
      <w:pPr>
        <w:pStyle w:val="Prrafodelista"/>
        <w:rPr>
          <w:sz w:val="20"/>
          <w:szCs w:val="20"/>
        </w:rPr>
      </w:pPr>
    </w:p>
    <w:p w:rsidR="00675FD1" w:rsidRPr="00675FD1" w:rsidRDefault="00675FD1" w:rsidP="00675FD1">
      <w:pPr>
        <w:numPr>
          <w:ilvl w:val="0"/>
          <w:numId w:val="4"/>
        </w:numPr>
        <w:jc w:val="both"/>
        <w:rPr>
          <w:rFonts w:ascii="Tahoma" w:hAnsi="Tahoma" w:cs="Tahoma"/>
        </w:rPr>
      </w:pPr>
      <w:r w:rsidRPr="00675FD1">
        <w:rPr>
          <w:rFonts w:ascii="Tahoma" w:hAnsi="Tahoma" w:cs="Tahoma"/>
        </w:rPr>
        <w:t>Mediante Oficio Nº 210-2010-A-MDH de fecha 27 de setiembre de 2010, la Entidad remitió la documentación requerida.</w:t>
      </w:r>
    </w:p>
    <w:p w:rsidR="00675FD1" w:rsidRPr="00675FD1" w:rsidRDefault="00675FD1" w:rsidP="00675FD1">
      <w:pPr>
        <w:ind w:left="720"/>
        <w:rPr>
          <w:rFonts w:ascii="Tahoma" w:hAnsi="Tahoma" w:cs="Tahoma"/>
        </w:rPr>
      </w:pPr>
    </w:p>
    <w:p w:rsidR="00675FD1" w:rsidRPr="00675FD1" w:rsidRDefault="00675FD1" w:rsidP="00675FD1">
      <w:pPr>
        <w:numPr>
          <w:ilvl w:val="0"/>
          <w:numId w:val="4"/>
        </w:numPr>
        <w:jc w:val="both"/>
        <w:rPr>
          <w:rFonts w:ascii="Tahoma" w:hAnsi="Tahoma" w:cs="Tahoma"/>
        </w:rPr>
      </w:pPr>
      <w:r w:rsidRPr="00675FD1">
        <w:rPr>
          <w:rFonts w:ascii="Tahoma" w:hAnsi="Tahoma" w:cs="Tahoma"/>
        </w:rPr>
        <w:t>Por decreto del 30 de setiembre de 2010, el Tribunal inició procedimiento administrativo sancionador al Contratista, por supuesta responsabilidad en haber presentado como parte de su propuesta las cartas fianzas Nº 0300683526-2010 y Nº 020043705-2009, de fechas 15 de enero de 2010 y 17 de julio de 2009 respectivamente, supuestamente falsas, y se le otorgó el plazo de diez días para que se presente sus descargos, bajo apercibimiento de resolver con la documentación obrante en autos.</w:t>
      </w:r>
    </w:p>
    <w:p w:rsidR="00675FD1" w:rsidRPr="00675FD1" w:rsidRDefault="00675FD1" w:rsidP="00675FD1">
      <w:pPr>
        <w:ind w:left="360"/>
        <w:rPr>
          <w:rFonts w:ascii="Tahoma" w:hAnsi="Tahoma" w:cs="Tahoma"/>
        </w:rPr>
      </w:pPr>
    </w:p>
    <w:p w:rsidR="00675FD1" w:rsidRPr="00675FD1" w:rsidRDefault="00675FD1" w:rsidP="00675FD1">
      <w:pPr>
        <w:numPr>
          <w:ilvl w:val="0"/>
          <w:numId w:val="4"/>
        </w:numPr>
        <w:jc w:val="both"/>
        <w:rPr>
          <w:rFonts w:ascii="Tahoma" w:hAnsi="Tahoma" w:cs="Tahoma"/>
        </w:rPr>
      </w:pPr>
      <w:r w:rsidRPr="00675FD1">
        <w:rPr>
          <w:rFonts w:ascii="Tahoma" w:hAnsi="Tahoma" w:cs="Tahoma"/>
        </w:rPr>
        <w:t xml:space="preserve">Mediante escrito de fecha 16 de noviembre de 2010, la empresa consorciada </w:t>
      </w:r>
      <w:r w:rsidRPr="00675FD1">
        <w:rPr>
          <w:rFonts w:ascii="Tahoma" w:hAnsi="Tahoma" w:cs="Tahoma"/>
          <w:b/>
          <w:bCs/>
        </w:rPr>
        <w:t>EDIFICACIONES Y CONSTRUCTORES TORISOL S.A.C.</w:t>
      </w:r>
      <w:r w:rsidRPr="00675FD1">
        <w:rPr>
          <w:rFonts w:ascii="Tahoma" w:hAnsi="Tahoma" w:cs="Tahoma"/>
        </w:rPr>
        <w:t>, formuló sus descargos en los siguientes términos:</w:t>
      </w:r>
    </w:p>
    <w:p w:rsidR="00675FD1" w:rsidRPr="00675FD1" w:rsidRDefault="00675FD1" w:rsidP="00675FD1">
      <w:pPr>
        <w:rPr>
          <w:rFonts w:ascii="Tahoma" w:hAnsi="Tahoma" w:cs="Tahoma"/>
        </w:rPr>
      </w:pPr>
    </w:p>
    <w:p w:rsidR="00675FD1" w:rsidRPr="00675FD1" w:rsidRDefault="00675FD1" w:rsidP="00675FD1">
      <w:pPr>
        <w:numPr>
          <w:ilvl w:val="0"/>
          <w:numId w:val="5"/>
        </w:numPr>
        <w:tabs>
          <w:tab w:val="clear" w:pos="1428"/>
          <w:tab w:val="num" w:pos="2127"/>
        </w:tabs>
        <w:ind w:left="2127" w:hanging="709"/>
        <w:jc w:val="both"/>
        <w:rPr>
          <w:rFonts w:ascii="Tahoma" w:hAnsi="Tahoma" w:cs="Tahoma"/>
        </w:rPr>
      </w:pPr>
      <w:r w:rsidRPr="00675FD1">
        <w:rPr>
          <w:rFonts w:ascii="Tahoma" w:hAnsi="Tahoma" w:cs="Tahoma"/>
        </w:rPr>
        <w:t>Se desconocen la presentación de dichos documentos, en razón que el Sr. Luis Toribio Toribio Solis, ex representante de la empresa fue quien presentó la documentación para participar en el proceso de selección de la referencia.</w:t>
      </w:r>
    </w:p>
    <w:p w:rsidR="00675FD1" w:rsidRPr="00675FD1" w:rsidRDefault="00675FD1" w:rsidP="00675FD1">
      <w:pPr>
        <w:ind w:left="2127"/>
        <w:rPr>
          <w:rFonts w:ascii="Tahoma" w:hAnsi="Tahoma" w:cs="Tahoma"/>
        </w:rPr>
      </w:pPr>
    </w:p>
    <w:p w:rsidR="00675FD1" w:rsidRPr="00675FD1" w:rsidRDefault="00675FD1" w:rsidP="00675FD1">
      <w:pPr>
        <w:numPr>
          <w:ilvl w:val="0"/>
          <w:numId w:val="5"/>
        </w:numPr>
        <w:tabs>
          <w:tab w:val="clear" w:pos="1428"/>
          <w:tab w:val="num" w:pos="2127"/>
        </w:tabs>
        <w:ind w:left="2127" w:hanging="709"/>
        <w:jc w:val="both"/>
        <w:rPr>
          <w:rFonts w:ascii="Tahoma" w:hAnsi="Tahoma" w:cs="Tahoma"/>
        </w:rPr>
      </w:pPr>
      <w:r w:rsidRPr="00675FD1">
        <w:rPr>
          <w:rFonts w:ascii="Tahoma" w:hAnsi="Tahoma" w:cs="Tahoma"/>
        </w:rPr>
        <w:t>Asimismo, el contratista precisa que la obra fue culminada y entregada a satisfacción de la Entidad dentro del cronograma establecido.</w:t>
      </w:r>
    </w:p>
    <w:p w:rsidR="00675FD1" w:rsidRPr="00675FD1" w:rsidRDefault="00675FD1" w:rsidP="00675FD1">
      <w:pPr>
        <w:pStyle w:val="Prrafodelista"/>
        <w:rPr>
          <w:sz w:val="20"/>
          <w:szCs w:val="20"/>
        </w:rPr>
      </w:pPr>
    </w:p>
    <w:p w:rsidR="00675FD1" w:rsidRPr="00675FD1" w:rsidRDefault="00675FD1" w:rsidP="00675FD1">
      <w:pPr>
        <w:numPr>
          <w:ilvl w:val="0"/>
          <w:numId w:val="5"/>
        </w:numPr>
        <w:tabs>
          <w:tab w:val="clear" w:pos="1428"/>
          <w:tab w:val="num" w:pos="2127"/>
        </w:tabs>
        <w:ind w:left="2127" w:hanging="709"/>
        <w:jc w:val="both"/>
        <w:rPr>
          <w:rFonts w:ascii="Tahoma" w:hAnsi="Tahoma" w:cs="Tahoma"/>
        </w:rPr>
      </w:pPr>
      <w:r w:rsidRPr="00675FD1">
        <w:rPr>
          <w:rFonts w:ascii="Tahoma" w:hAnsi="Tahoma" w:cs="Tahoma"/>
        </w:rPr>
        <w:t xml:space="preserve">Por otro lado, debe indicarse que el Sr. Luis Toribio Toribio Solis, ex representante de la empresa fue asesinado en el mes de diciembre de 2009, por lo que no se puede formular denuncia penal contra un fallecido, y por ende, la persona jurídica no puede ser pasible de responsabilidad por los actos cometidos por una persona fallecida. Por todo ello, solicita no se le aplique sanción administrativa a la empresa </w:t>
      </w:r>
      <w:r w:rsidRPr="00675FD1">
        <w:rPr>
          <w:rFonts w:ascii="Tahoma" w:hAnsi="Tahoma" w:cs="Tahoma"/>
          <w:b/>
          <w:bCs/>
        </w:rPr>
        <w:t>EDIFICACIONES Y CONSTRUCTORES TORISOL S.A.C.</w:t>
      </w:r>
    </w:p>
    <w:p w:rsidR="00675FD1" w:rsidRPr="00675FD1" w:rsidRDefault="00675FD1" w:rsidP="00675FD1">
      <w:pPr>
        <w:ind w:left="720"/>
        <w:rPr>
          <w:rFonts w:ascii="Tahoma" w:hAnsi="Tahoma" w:cs="Tahoma"/>
        </w:rPr>
      </w:pPr>
    </w:p>
    <w:p w:rsidR="00675FD1" w:rsidRPr="00675FD1" w:rsidRDefault="00675FD1" w:rsidP="00675FD1">
      <w:pPr>
        <w:numPr>
          <w:ilvl w:val="0"/>
          <w:numId w:val="4"/>
        </w:numPr>
        <w:jc w:val="both"/>
        <w:rPr>
          <w:rFonts w:ascii="Tahoma" w:hAnsi="Tahoma" w:cs="Tahoma"/>
        </w:rPr>
      </w:pPr>
      <w:r w:rsidRPr="00675FD1">
        <w:rPr>
          <w:rFonts w:ascii="Tahoma" w:hAnsi="Tahoma" w:cs="Tahoma"/>
        </w:rPr>
        <w:t>Por decreto del 22 de noviembre de 2010, se remitió el expediente a la Primera Sala del Tribunal.</w:t>
      </w:r>
    </w:p>
    <w:p w:rsidR="00675FD1" w:rsidRPr="00675FD1" w:rsidRDefault="00675FD1" w:rsidP="00675FD1">
      <w:pPr>
        <w:ind w:left="720"/>
        <w:rPr>
          <w:rFonts w:ascii="Tahoma" w:hAnsi="Tahoma" w:cs="Tahoma"/>
        </w:rPr>
      </w:pPr>
    </w:p>
    <w:p w:rsidR="00675FD1" w:rsidRPr="00675FD1" w:rsidRDefault="00675FD1" w:rsidP="00675FD1">
      <w:pPr>
        <w:jc w:val="both"/>
        <w:rPr>
          <w:rFonts w:ascii="Tahoma" w:hAnsi="Tahoma" w:cs="Tahoma"/>
          <w:b/>
          <w:shadow/>
        </w:rPr>
      </w:pPr>
      <w:r w:rsidRPr="00675FD1">
        <w:rPr>
          <w:rFonts w:ascii="Tahoma" w:hAnsi="Tahoma" w:cs="Tahoma"/>
          <w:b/>
          <w:shadow/>
        </w:rPr>
        <w:t>FUNDAMENTACIÓN:</w:t>
      </w:r>
    </w:p>
    <w:p w:rsidR="00675FD1" w:rsidRPr="00675FD1" w:rsidRDefault="00675FD1" w:rsidP="00675FD1">
      <w:pPr>
        <w:jc w:val="center"/>
        <w:rPr>
          <w:rFonts w:ascii="Tahoma" w:hAnsi="Tahoma" w:cs="Tahoma"/>
          <w:b/>
          <w:bCs/>
        </w:rPr>
      </w:pPr>
    </w:p>
    <w:p w:rsidR="00675FD1" w:rsidRPr="00675FD1" w:rsidRDefault="00675FD1" w:rsidP="00675FD1">
      <w:pPr>
        <w:numPr>
          <w:ilvl w:val="0"/>
          <w:numId w:val="7"/>
        </w:numPr>
        <w:jc w:val="both"/>
        <w:rPr>
          <w:rFonts w:ascii="Tahoma" w:hAnsi="Tahoma" w:cs="Tahoma"/>
        </w:rPr>
      </w:pPr>
      <w:r w:rsidRPr="00675FD1">
        <w:rPr>
          <w:rFonts w:ascii="Tahoma" w:hAnsi="Tahoma" w:cs="Tahoma"/>
        </w:rPr>
        <w:t>El presente procedimiento ha sido iniciado para determinar si las empresas  consorciadas EMDA CONSTRUCTORA S.R.L. y  EDIFICACIONES Y CONSTRUCTORES TORISOL S.A.C., han incurrido en responsabilidad administrativa por la presentación de documentos falsos o inexactos durante la Licitación Pública Nº 001-2009-MDH; infracción tipificada en el literal i) del numeral 1 del artículo 51º de la Ley de Contrataciones del Estado</w:t>
      </w:r>
      <w:r w:rsidRPr="00675FD1">
        <w:rPr>
          <w:rFonts w:ascii="Tahoma" w:hAnsi="Tahoma" w:cs="Tahoma"/>
          <w:vertAlign w:val="superscript"/>
        </w:rPr>
        <w:footnoteReference w:id="2"/>
      </w:r>
      <w:r w:rsidRPr="00675FD1">
        <w:rPr>
          <w:rFonts w:ascii="Tahoma" w:hAnsi="Tahoma" w:cs="Tahoma"/>
        </w:rPr>
        <w:t>, en adelante la Ley, concordante con el literal i) del numeral 1 del artículo 237º de su Reglamento</w:t>
      </w:r>
      <w:r w:rsidRPr="00675FD1">
        <w:rPr>
          <w:rFonts w:ascii="Tahoma" w:hAnsi="Tahoma" w:cs="Tahoma"/>
          <w:vertAlign w:val="superscript"/>
        </w:rPr>
        <w:footnoteReference w:id="3"/>
      </w:r>
      <w:r w:rsidRPr="00675FD1">
        <w:rPr>
          <w:rFonts w:ascii="Tahoma" w:hAnsi="Tahoma" w:cs="Tahoma"/>
        </w:rPr>
        <w:t>, normas vigentes al suscitarse los hechos.</w:t>
      </w:r>
    </w:p>
    <w:p w:rsidR="00675FD1" w:rsidRPr="00675FD1" w:rsidRDefault="00675FD1" w:rsidP="00675FD1">
      <w:pPr>
        <w:ind w:left="72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lastRenderedPageBreak/>
        <w:t>Sobre el particular, el literal i) del artículo 51º de la Ley, concordante con el artículo 237º del Reglamento establece que los agentes privados de la contratación incurrirán en infracción susceptible de sanción cuando presenten documentos falsos o información inexacta a las Entidades, al Tribunal o al OSCE. Dicha infracción se configura con la sola presentación del documento falso o inexacto, sin que la norma exija otros factores adicionales ; es decir, con la sola afectación del Principio de Presunción de Veracidad</w:t>
      </w:r>
      <w:r w:rsidRPr="00675FD1">
        <w:rPr>
          <w:rStyle w:val="Refdenotaalpie"/>
          <w:rFonts w:ascii="Tahoma" w:hAnsi="Tahoma" w:cs="Tahoma"/>
        </w:rPr>
        <w:footnoteReference w:id="4"/>
      </w:r>
      <w:r w:rsidRPr="00675FD1">
        <w:rPr>
          <w:rFonts w:ascii="Tahoma" w:hAnsi="Tahoma" w:cs="Tahoma"/>
        </w:rPr>
        <w:t xml:space="preserve"> consagrado en el acápite 1.7 del Artículo IV del Título Preliminar de la Ley Nº 27444, del Procedimiento Administrativo General, por cuanto la Administración Pública presume que todos los documentos y declaraciones formuladas por los administrados responden a la verdad de los hechos que ellos afirman, reservándose, en virtud de lo establecido en el numeral 1.16 del citado dispositivo, el derecho de verificar posteriormente la veracidad y autenticidad de los mismos.</w:t>
      </w:r>
    </w:p>
    <w:p w:rsidR="00675FD1" w:rsidRPr="00675FD1" w:rsidRDefault="00675FD1" w:rsidP="00675FD1">
      <w:pPr>
        <w:ind w:left="36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Asimismo, </w:t>
      </w:r>
      <w:r w:rsidRPr="00675FD1">
        <w:rPr>
          <w:rFonts w:ascii="Tahoma" w:hAnsi="Tahoma" w:cs="Tahoma"/>
          <w:lang w:val="es-MX"/>
        </w:rPr>
        <w:t xml:space="preserve">el artículo 42º de la Ley de Procedimiento Administrativo General establece que todas las declaraciones juradas, los documentos sucedáneos presentados y la información incluida en los escritos y formularios que presenten los administrados para la realización de procedimientos administrativos, </w:t>
      </w:r>
      <w:r w:rsidRPr="00675FD1">
        <w:rPr>
          <w:rFonts w:ascii="Tahoma" w:hAnsi="Tahoma" w:cs="Tahoma"/>
          <w:b/>
          <w:bCs/>
          <w:lang w:val="es-MX"/>
        </w:rPr>
        <w:t>se presumen verificados por quien hace uso de ellos, así como de contenido veraz para fines del procedimiento administrativo</w:t>
      </w:r>
      <w:r w:rsidRPr="00675FD1">
        <w:rPr>
          <w:rFonts w:ascii="Tahoma" w:hAnsi="Tahoma" w:cs="Tahoma"/>
          <w:lang w:val="es-MX"/>
        </w:rPr>
        <w:t xml:space="preserve">. Sin embargo, esta presunción es de índole </w:t>
      </w:r>
      <w:r w:rsidRPr="00675FD1">
        <w:rPr>
          <w:rFonts w:ascii="Tahoma" w:hAnsi="Tahoma" w:cs="Tahoma"/>
          <w:i/>
          <w:iCs/>
          <w:lang w:val="es-MX"/>
        </w:rPr>
        <w:t>juris tantum</w:t>
      </w:r>
      <w:r w:rsidRPr="00675FD1">
        <w:rPr>
          <w:rFonts w:ascii="Tahoma" w:hAnsi="Tahoma" w:cs="Tahoma"/>
          <w:lang w:val="es-MX"/>
        </w:rPr>
        <w:t xml:space="preserve"> pues admite prueba en contrario, en la medida que es atribución de la Administración Pública verificar la documentación presentada cuando existen indicios suficientes de que la información consignada no se ajusta a los hechos.</w:t>
      </w:r>
    </w:p>
    <w:p w:rsidR="00675FD1" w:rsidRPr="00675FD1" w:rsidRDefault="00675FD1" w:rsidP="00675FD1">
      <w:pPr>
        <w:ind w:left="72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Concordante con lo manifestado, el inciso 4) del artículo 56º del mismo cuerpo legal, estipula como uno de los deberes generales de los administrados, la comprobación de la autenticidad previamente a su presentación ante la Entidad, de la documentación sucedánea y de cualquier otra información que se ampare en la presunción de veracidad.</w:t>
      </w:r>
    </w:p>
    <w:p w:rsidR="00675FD1" w:rsidRPr="00675FD1" w:rsidRDefault="00675FD1" w:rsidP="00675FD1">
      <w:pPr>
        <w:ind w:left="72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En línea con lo anterior, el literal c) del numeral 1 del artículo 42º del Reglamento establece que los postores y/o contratistas </w:t>
      </w:r>
      <w:r w:rsidRPr="00675FD1">
        <w:rPr>
          <w:rFonts w:ascii="Tahoma" w:hAnsi="Tahoma" w:cs="Tahoma"/>
          <w:b/>
          <w:bCs/>
        </w:rPr>
        <w:t>son responsables de la veracidad de los documentos e información que presentan para efectos de un proceso de selección determinado</w:t>
      </w:r>
      <w:r w:rsidRPr="00675FD1">
        <w:rPr>
          <w:rFonts w:ascii="Tahoma" w:hAnsi="Tahoma" w:cs="Tahoma"/>
        </w:rPr>
        <w:t>.</w:t>
      </w:r>
    </w:p>
    <w:p w:rsidR="00675FD1" w:rsidRPr="00675FD1" w:rsidRDefault="00675FD1" w:rsidP="00675FD1">
      <w:pPr>
        <w:ind w:left="72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Ahora bien, para la configuración del supuesto de presentación de documentación falsa, se requiere previamente acreditar su falsedad, esto es que el documento o los documentos cuestionados no hayan sido válidamente expedidos por el órgano o agente emisor correspondiente o que, siendo válidamente expedidos, hayan sido adulterados en su contenido. </w:t>
      </w:r>
    </w:p>
    <w:p w:rsidR="00675FD1" w:rsidRPr="00675FD1" w:rsidRDefault="00675FD1" w:rsidP="00675FD1">
      <w:pPr>
        <w:pStyle w:val="Prrafodelista"/>
        <w:rPr>
          <w:sz w:val="20"/>
          <w:szCs w:val="20"/>
          <w:lang w:val="es-PE"/>
        </w:rPr>
      </w:pPr>
    </w:p>
    <w:p w:rsidR="00675FD1" w:rsidRPr="00675FD1" w:rsidRDefault="00675FD1" w:rsidP="00675FD1">
      <w:pPr>
        <w:ind w:left="720"/>
        <w:rPr>
          <w:rFonts w:ascii="Tahoma" w:hAnsi="Tahoma" w:cs="Tahoma"/>
          <w:i/>
          <w:iCs/>
          <w:lang w:val="es-PE"/>
        </w:rPr>
      </w:pPr>
      <w:r w:rsidRPr="00675FD1">
        <w:rPr>
          <w:rFonts w:ascii="Tahoma" w:hAnsi="Tahoma" w:cs="Tahoma"/>
          <w:lang w:val="es-PE"/>
        </w:rPr>
        <w:t xml:space="preserve">Por otro lado, la infracción referida a información inexacta se configura ante la presentación de documentos no concordantes con la realidad, que constituye una forma de falseamiento de la misma, a través del quebrantamiento de los </w:t>
      </w:r>
      <w:r w:rsidRPr="00675FD1">
        <w:rPr>
          <w:rFonts w:ascii="Tahoma" w:hAnsi="Tahoma" w:cs="Tahoma"/>
          <w:i/>
          <w:iCs/>
          <w:lang w:val="es-PE"/>
        </w:rPr>
        <w:t>Principios de Moralidad</w:t>
      </w:r>
      <w:r w:rsidRPr="00675FD1">
        <w:rPr>
          <w:rFonts w:ascii="Tahoma" w:hAnsi="Tahoma" w:cs="Tahoma"/>
          <w:lang w:val="es-PE"/>
        </w:rPr>
        <w:t xml:space="preserve"> y de </w:t>
      </w:r>
      <w:r w:rsidRPr="00675FD1">
        <w:rPr>
          <w:rFonts w:ascii="Tahoma" w:hAnsi="Tahoma" w:cs="Tahoma"/>
          <w:i/>
          <w:iCs/>
          <w:lang w:val="es-PE"/>
        </w:rPr>
        <w:t>Presunción de Veracidad.</w:t>
      </w:r>
    </w:p>
    <w:p w:rsidR="00675FD1" w:rsidRPr="00675FD1" w:rsidRDefault="00675FD1" w:rsidP="00675FD1">
      <w:pPr>
        <w:ind w:left="720"/>
        <w:rPr>
          <w:rFonts w:ascii="Tahoma" w:hAnsi="Tahoma" w:cs="Tahoma"/>
          <w:i/>
          <w:iCs/>
          <w:lang w:val="es-PE"/>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En lo que concierne al fondo del asunto, en el presente caso la imputación efectuada contra el consorcio se refiere al primer supuesto de hecho contenido en la referida </w:t>
      </w:r>
      <w:r w:rsidRPr="00675FD1">
        <w:rPr>
          <w:rFonts w:ascii="Tahoma" w:hAnsi="Tahoma" w:cs="Tahoma"/>
        </w:rPr>
        <w:lastRenderedPageBreak/>
        <w:t>causal, es decir por la presentación de documentación falsa, razón por la cual deberá determinarse si las Cartas fianzas Nº 020048705-2009  y Nº 0300683526-2010,  son o no verdaderas, o si siendo verdaderas han sufrido adulteración.</w:t>
      </w:r>
    </w:p>
    <w:p w:rsidR="00675FD1" w:rsidRPr="00675FD1" w:rsidRDefault="00675FD1" w:rsidP="00675FD1">
      <w:pPr>
        <w:ind w:left="36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Sobre el particular, la Entidad sustenta su denuncia indicando que en virtud al </w:t>
      </w:r>
      <w:r w:rsidRPr="00675FD1">
        <w:rPr>
          <w:rFonts w:ascii="Tahoma" w:hAnsi="Tahoma" w:cs="Tahoma"/>
          <w:i/>
          <w:iCs/>
        </w:rPr>
        <w:t>Principio de Controles Posteriores</w:t>
      </w:r>
      <w:r w:rsidRPr="00675FD1">
        <w:rPr>
          <w:rFonts w:ascii="Tahoma" w:hAnsi="Tahoma" w:cs="Tahoma"/>
        </w:rPr>
        <w:t xml:space="preserve">, contemplado en el numeral 1.16 </w:t>
      </w:r>
      <w:r w:rsidRPr="00675FD1">
        <w:rPr>
          <w:rFonts w:ascii="Tahoma" w:hAnsi="Tahoma" w:cs="Tahoma"/>
          <w:lang w:eastAsia="ja-JP"/>
        </w:rPr>
        <w:t xml:space="preserve">del artículo IV de la Ley Nº 27444, Ley de Procedimiento Administrativo General, inició un procedimiento de fiscalización posterior respecto de las </w:t>
      </w:r>
      <w:r w:rsidRPr="00675FD1">
        <w:rPr>
          <w:rFonts w:ascii="Tahoma" w:hAnsi="Tahoma" w:cs="Tahoma"/>
        </w:rPr>
        <w:t>Cartas Fianzas Nº 020048705-2009  y Nº 0300683526-2010, respectivamente.</w:t>
      </w:r>
    </w:p>
    <w:p w:rsidR="00675FD1" w:rsidRPr="00675FD1" w:rsidRDefault="00675FD1" w:rsidP="00675FD1">
      <w:pPr>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Respecto a ello, debe indicarse que, en virtud a las investigaciones efectuadas por la Entidad durante la etapa de ejecución contractual- suscripción del contrato</w:t>
      </w:r>
      <w:r w:rsidRPr="00675FD1">
        <w:rPr>
          <w:rFonts w:ascii="Tahoma" w:hAnsi="Tahoma" w:cs="Tahoma"/>
          <w:lang w:eastAsia="ja-JP"/>
        </w:rPr>
        <w:t xml:space="preserve">, se procedió a solicitar información al banco SCOTIABANK a fin que informe sobre la veracidad de la Carta Fianza Nº </w:t>
      </w:r>
      <w:r w:rsidRPr="00675FD1">
        <w:rPr>
          <w:rFonts w:ascii="Tahoma" w:hAnsi="Tahoma" w:cs="Tahoma"/>
        </w:rPr>
        <w:t xml:space="preserve">020048705-2009 de fecha 17 de julio de 2009, y su respectiva renovación, mediante </w:t>
      </w:r>
      <w:r w:rsidRPr="00675FD1">
        <w:rPr>
          <w:rFonts w:ascii="Tahoma" w:hAnsi="Tahoma" w:cs="Tahoma"/>
          <w:lang w:eastAsia="ja-JP"/>
        </w:rPr>
        <w:t xml:space="preserve">Carta Fianza </w:t>
      </w:r>
      <w:r w:rsidRPr="00675FD1">
        <w:rPr>
          <w:rFonts w:ascii="Tahoma" w:hAnsi="Tahoma" w:cs="Tahoma"/>
        </w:rPr>
        <w:t>Nº 0300683526-2010 del 15 de enero de 2010, ambas por el monto de S/. 235,919.17 Nuevos Soles, constituidas como garantías de Fiel Cumplimiento  a favor de la Entidad para la construcción de centro de salud de Huarica.</w:t>
      </w:r>
    </w:p>
    <w:p w:rsidR="00675FD1" w:rsidRPr="00675FD1" w:rsidRDefault="00675FD1" w:rsidP="00675FD1">
      <w:pPr>
        <w:pStyle w:val="Prrafodelista"/>
        <w:rPr>
          <w:sz w:val="20"/>
          <w:szCs w:val="20"/>
          <w:lang w:eastAsia="ja-JP"/>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Del resultado del requerimiento institucional a la entidad bancaria, ésta remite su respuesta mediante Carta Nº 005-2010- Scotiabank /AJE del 12 de febrero de 2010, en la que hace de conocimiento que las Cartas Fianzas Nº 020048705-2009  y Nº 0300683526-2010, </w:t>
      </w:r>
      <w:r w:rsidRPr="00675FD1">
        <w:rPr>
          <w:rFonts w:ascii="Tahoma" w:hAnsi="Tahoma" w:cs="Tahoma"/>
          <w:b/>
          <w:bCs/>
        </w:rPr>
        <w:t>no han sido emitidas por el Banco, haciendo la precisión que son falsas. (sic).</w:t>
      </w:r>
    </w:p>
    <w:p w:rsidR="00675FD1" w:rsidRPr="00675FD1" w:rsidRDefault="00675FD1" w:rsidP="00675FD1">
      <w:pPr>
        <w:rPr>
          <w:rFonts w:ascii="Tahoma" w:hAnsi="Tahoma" w:cs="Tahoma"/>
        </w:rPr>
      </w:pPr>
    </w:p>
    <w:p w:rsidR="00675FD1" w:rsidRPr="00675FD1" w:rsidRDefault="00675FD1" w:rsidP="00675FD1">
      <w:pPr>
        <w:numPr>
          <w:ilvl w:val="0"/>
          <w:numId w:val="7"/>
        </w:numPr>
        <w:jc w:val="both"/>
        <w:rPr>
          <w:rFonts w:ascii="Tahoma" w:hAnsi="Tahoma" w:cs="Tahoma"/>
          <w:b/>
          <w:bCs/>
          <w:i/>
          <w:iCs/>
        </w:rPr>
      </w:pPr>
      <w:r w:rsidRPr="00675FD1">
        <w:rPr>
          <w:rFonts w:ascii="Tahoma" w:hAnsi="Tahoma" w:cs="Tahoma"/>
        </w:rPr>
        <w:t>Dicha aseveración emitida por el supuesto emisor, mediante la cual negó haber emitido las dos fianzas,  constituye prueba suficiente que permite desvirtuar el principio de Presunción de Veracidad que rige a los procedimientos administrativos, criterio que ha sido adoptado en reiterados pronunciamientos de este Tribunal.</w:t>
      </w:r>
      <w:r w:rsidRPr="00675FD1">
        <w:rPr>
          <w:rStyle w:val="Refdenotaalpie"/>
          <w:rFonts w:ascii="Tahoma" w:hAnsi="Tahoma" w:cs="Tahoma"/>
        </w:rPr>
        <w:footnoteReference w:id="5"/>
      </w:r>
    </w:p>
    <w:p w:rsidR="00675FD1" w:rsidRPr="00675FD1" w:rsidRDefault="00675FD1" w:rsidP="00675FD1">
      <w:pPr>
        <w:rPr>
          <w:rFonts w:ascii="Tahoma" w:hAnsi="Tahoma" w:cs="Tahoma"/>
          <w:b/>
          <w:bCs/>
          <w:i/>
          <w:iCs/>
        </w:rPr>
      </w:pPr>
    </w:p>
    <w:p w:rsidR="00675FD1" w:rsidRPr="00675FD1" w:rsidRDefault="00675FD1" w:rsidP="00675FD1">
      <w:pPr>
        <w:numPr>
          <w:ilvl w:val="0"/>
          <w:numId w:val="7"/>
        </w:numPr>
        <w:jc w:val="both"/>
        <w:rPr>
          <w:rFonts w:ascii="Tahoma" w:hAnsi="Tahoma" w:cs="Tahoma"/>
          <w:b/>
          <w:bCs/>
          <w:i/>
          <w:iCs/>
        </w:rPr>
      </w:pPr>
      <w:r w:rsidRPr="00675FD1">
        <w:rPr>
          <w:rFonts w:ascii="Tahoma" w:hAnsi="Tahoma" w:cs="Tahoma"/>
        </w:rPr>
        <w:t xml:space="preserve">Conforme a lo expuesto en los párrafos precedentes, en virtud del </w:t>
      </w:r>
      <w:r w:rsidRPr="00675FD1">
        <w:rPr>
          <w:rFonts w:ascii="Tahoma" w:hAnsi="Tahoma" w:cs="Tahoma"/>
          <w:i/>
          <w:iCs/>
        </w:rPr>
        <w:t>principio de apreciación conjunta de las pruebas</w:t>
      </w:r>
      <w:r w:rsidRPr="00675FD1">
        <w:rPr>
          <w:rFonts w:ascii="Tahoma" w:hAnsi="Tahoma" w:cs="Tahoma"/>
        </w:rPr>
        <w:t xml:space="preserve">, proporcionadas en el desarrollo del presente procedimiento, así como de la apreciación razonada de las mismas, resulta válido colegir en este caso en concreto, que los documentos cuestionados son falsos, </w:t>
      </w:r>
      <w:r w:rsidRPr="00675FD1">
        <w:rPr>
          <w:rFonts w:ascii="Tahoma" w:hAnsi="Tahoma" w:cs="Tahoma"/>
          <w:u w:val="single"/>
        </w:rPr>
        <w:t>en tanto el supuesto agente suscriptor ahí declarado, ha desconocido haberlos expedidos,</w:t>
      </w:r>
      <w:r w:rsidRPr="00675FD1">
        <w:rPr>
          <w:rFonts w:ascii="Tahoma" w:hAnsi="Tahoma" w:cs="Tahoma"/>
        </w:rPr>
        <w:t xml:space="preserve"> con lo cual, debe concluirse que la infracción se ha cometido y que el autor de la misma es el referido proveedor.</w:t>
      </w:r>
    </w:p>
    <w:p w:rsidR="00675FD1" w:rsidRPr="00675FD1" w:rsidRDefault="00675FD1" w:rsidP="00675FD1">
      <w:pPr>
        <w:rPr>
          <w:rFonts w:ascii="Tahoma" w:hAnsi="Tahoma" w:cs="Tahoma"/>
          <w:b/>
          <w:bCs/>
          <w:i/>
          <w:iCs/>
        </w:rPr>
      </w:pPr>
    </w:p>
    <w:p w:rsidR="00675FD1" w:rsidRPr="00675FD1" w:rsidRDefault="00675FD1" w:rsidP="00675FD1">
      <w:pPr>
        <w:numPr>
          <w:ilvl w:val="0"/>
          <w:numId w:val="7"/>
        </w:numPr>
        <w:jc w:val="both"/>
        <w:rPr>
          <w:rFonts w:ascii="Tahoma" w:hAnsi="Tahoma" w:cs="Tahoma"/>
          <w:b/>
          <w:bCs/>
          <w:i/>
          <w:iCs/>
        </w:rPr>
      </w:pPr>
      <w:r w:rsidRPr="00675FD1">
        <w:rPr>
          <w:rFonts w:ascii="Tahoma" w:hAnsi="Tahoma" w:cs="Tahoma"/>
          <w:lang w:val="es-PE"/>
        </w:rPr>
        <w:t xml:space="preserve">En efecto, </w:t>
      </w:r>
      <w:r w:rsidRPr="00675FD1">
        <w:rPr>
          <w:rFonts w:ascii="Tahoma" w:hAnsi="Tahoma" w:cs="Tahoma"/>
        </w:rPr>
        <w:t>tanto la Ley Nº 27444</w:t>
      </w:r>
      <w:r w:rsidRPr="00675FD1">
        <w:rPr>
          <w:rFonts w:ascii="Tahoma" w:hAnsi="Tahoma" w:cs="Tahoma"/>
          <w:vertAlign w:val="superscript"/>
        </w:rPr>
        <w:footnoteReference w:id="6"/>
      </w:r>
      <w:r w:rsidRPr="00675FD1">
        <w:rPr>
          <w:rFonts w:ascii="Tahoma" w:hAnsi="Tahoma" w:cs="Tahoma"/>
        </w:rPr>
        <w:t>, como el Reglamento</w:t>
      </w:r>
      <w:r w:rsidRPr="00675FD1">
        <w:rPr>
          <w:rFonts w:ascii="Tahoma" w:hAnsi="Tahoma" w:cs="Tahoma"/>
          <w:vertAlign w:val="superscript"/>
        </w:rPr>
        <w:footnoteReference w:id="7"/>
      </w:r>
      <w:r w:rsidRPr="00675FD1">
        <w:rPr>
          <w:rFonts w:ascii="Tahoma" w:hAnsi="Tahoma" w:cs="Tahoma"/>
        </w:rPr>
        <w:t xml:space="preserve"> han establecido que </w:t>
      </w:r>
      <w:r w:rsidRPr="00675FD1">
        <w:rPr>
          <w:rFonts w:ascii="Tahoma" w:hAnsi="Tahoma" w:cs="Tahoma"/>
          <w:b/>
          <w:bCs/>
          <w:u w:val="single"/>
        </w:rPr>
        <w:t>la responsabilidad por la presentación de documentos falsos o inexactos corresponde al administrado que lo presentó en el trámite del procedimiento administrativo</w:t>
      </w:r>
      <w:r w:rsidRPr="00675FD1">
        <w:rPr>
          <w:rFonts w:ascii="Tahoma" w:hAnsi="Tahoma" w:cs="Tahoma"/>
        </w:rPr>
        <w:t xml:space="preserve">. En el mismo sentido, el literal i) del artículo 51º y 237º de la Ley y del Reglamento, considera autor de la infracción </w:t>
      </w:r>
      <w:r w:rsidRPr="00675FD1">
        <w:rPr>
          <w:rFonts w:ascii="Tahoma" w:hAnsi="Tahoma" w:cs="Tahoma"/>
          <w:b/>
          <w:bCs/>
          <w:u w:val="single"/>
        </w:rPr>
        <w:t xml:space="preserve">al proveedor </w:t>
      </w:r>
      <w:r w:rsidRPr="00675FD1">
        <w:rPr>
          <w:rFonts w:ascii="Tahoma" w:hAnsi="Tahoma" w:cs="Tahoma"/>
        </w:rPr>
        <w:t xml:space="preserve">que presenta </w:t>
      </w:r>
      <w:r w:rsidRPr="00675FD1">
        <w:rPr>
          <w:rFonts w:ascii="Tahoma" w:hAnsi="Tahoma" w:cs="Tahoma"/>
          <w:lang w:val="es-PE"/>
        </w:rPr>
        <w:t>documentos falsos o inexactos</w:t>
      </w:r>
      <w:r w:rsidRPr="00675FD1">
        <w:rPr>
          <w:rFonts w:ascii="Tahoma" w:hAnsi="Tahoma" w:cs="Tahoma"/>
        </w:rPr>
        <w:t xml:space="preserve"> a las Entidades, Tribunal o al OSCE</w:t>
      </w:r>
      <w:r w:rsidRPr="00675FD1">
        <w:rPr>
          <w:rFonts w:ascii="Tahoma" w:hAnsi="Tahoma" w:cs="Tahoma"/>
          <w:lang w:val="es-PE"/>
        </w:rPr>
        <w:t>.</w:t>
      </w:r>
    </w:p>
    <w:p w:rsidR="00675FD1" w:rsidRPr="00675FD1" w:rsidRDefault="00675FD1" w:rsidP="00675FD1">
      <w:pPr>
        <w:rPr>
          <w:rFonts w:ascii="Tahoma" w:hAnsi="Tahoma" w:cs="Tahoma"/>
          <w:b/>
          <w:bCs/>
          <w:i/>
          <w:iCs/>
        </w:rPr>
      </w:pPr>
    </w:p>
    <w:p w:rsidR="00675FD1" w:rsidRPr="00675FD1" w:rsidRDefault="00675FD1" w:rsidP="00675FD1">
      <w:pPr>
        <w:numPr>
          <w:ilvl w:val="0"/>
          <w:numId w:val="7"/>
        </w:numPr>
        <w:jc w:val="both"/>
        <w:rPr>
          <w:rFonts w:ascii="Tahoma" w:hAnsi="Tahoma" w:cs="Tahoma"/>
          <w:b/>
          <w:bCs/>
          <w:i/>
          <w:iCs/>
        </w:rPr>
      </w:pPr>
      <w:r w:rsidRPr="00675FD1">
        <w:rPr>
          <w:rFonts w:ascii="Tahoma" w:hAnsi="Tahoma" w:cs="Tahoma"/>
        </w:rPr>
        <w:t xml:space="preserve">De lo señalado con anterioridad, se puede concluir que el contratista presentó documentos falsos, a efectos de formalizar en un primer momento la Suscripción de Contrato y finalmente, mantener vigente la garantía hasta la culminación de la Obra, tal como se ha podido constatar de la información proporcionada por la Entidad, en el Informe Técnico Legal Nº 01-2010-A-HCA del 24 de mayo de 2010; con lo cual, queda </w:t>
      </w:r>
      <w:r w:rsidRPr="00675FD1">
        <w:rPr>
          <w:rFonts w:ascii="Tahoma" w:hAnsi="Tahoma" w:cs="Tahoma"/>
        </w:rPr>
        <w:lastRenderedPageBreak/>
        <w:t xml:space="preserve">evidenciado, de todo lo anteriormente expresado, la </w:t>
      </w:r>
      <w:r w:rsidRPr="00675FD1">
        <w:rPr>
          <w:rFonts w:ascii="Tahoma" w:hAnsi="Tahoma" w:cs="Tahoma"/>
          <w:i/>
          <w:iCs/>
        </w:rPr>
        <w:t>trasgresión al Principio de Presunción de Veracidad</w:t>
      </w:r>
      <w:r w:rsidRPr="00675FD1">
        <w:rPr>
          <w:rFonts w:ascii="Tahoma" w:hAnsi="Tahoma" w:cs="Tahoma"/>
        </w:rPr>
        <w:t xml:space="preserve"> en la que incurrió el Consorcio.</w:t>
      </w:r>
    </w:p>
    <w:p w:rsidR="00675FD1" w:rsidRPr="00675FD1" w:rsidRDefault="00675FD1" w:rsidP="00675FD1">
      <w:pPr>
        <w:rPr>
          <w:rFonts w:ascii="Tahoma" w:hAnsi="Tahoma" w:cs="Tahoma"/>
          <w:b/>
          <w:bCs/>
          <w:i/>
          <w:iCs/>
        </w:rPr>
      </w:pPr>
    </w:p>
    <w:p w:rsidR="00675FD1" w:rsidRPr="00675FD1" w:rsidRDefault="00675FD1" w:rsidP="00675FD1">
      <w:pPr>
        <w:numPr>
          <w:ilvl w:val="0"/>
          <w:numId w:val="7"/>
        </w:numPr>
        <w:jc w:val="both"/>
        <w:rPr>
          <w:rFonts w:ascii="Tahoma" w:hAnsi="Tahoma" w:cs="Tahoma"/>
          <w:b/>
          <w:bCs/>
          <w:i/>
          <w:iCs/>
        </w:rPr>
      </w:pPr>
      <w:r w:rsidRPr="00675FD1">
        <w:rPr>
          <w:rFonts w:ascii="Tahoma" w:hAnsi="Tahoma" w:cs="Tahoma"/>
        </w:rPr>
        <w:t>Teniendo en cuenta las consideraciones expuestas, corresponde imponer sanción administrativa a la contratista, al haber  incurrido en la causal de infracción tipificada en el numeral 1) literal i) del artículo 51 y 237 de la Ley y  del Reglamento.</w:t>
      </w:r>
    </w:p>
    <w:p w:rsidR="00675FD1" w:rsidRPr="00675FD1" w:rsidRDefault="00675FD1" w:rsidP="00675FD1">
      <w:pPr>
        <w:rPr>
          <w:rFonts w:ascii="Tahoma" w:hAnsi="Tahoma" w:cs="Tahoma"/>
          <w:b/>
          <w:bCs/>
          <w:i/>
          <w:iCs/>
        </w:rPr>
      </w:pPr>
    </w:p>
    <w:p w:rsidR="00675FD1" w:rsidRPr="00675FD1" w:rsidRDefault="00675FD1" w:rsidP="00675FD1">
      <w:pPr>
        <w:numPr>
          <w:ilvl w:val="0"/>
          <w:numId w:val="7"/>
        </w:numPr>
        <w:jc w:val="both"/>
        <w:rPr>
          <w:rFonts w:ascii="Tahoma" w:hAnsi="Tahoma" w:cs="Tahoma"/>
          <w:b/>
          <w:bCs/>
          <w:i/>
          <w:iCs/>
        </w:rPr>
      </w:pPr>
      <w:r w:rsidRPr="00675FD1">
        <w:rPr>
          <w:rFonts w:ascii="Tahoma" w:hAnsi="Tahoma" w:cs="Tahoma"/>
        </w:rPr>
        <w:t>Sobre los hechos y en virtud del derecho de defensa que ampara al administrado, la empresa consorciada Edificaciones Y Constructores Torisol S.A.C. indicó que desconocía la presentación de dichos documentos, en razón que el Sr. Luis Toribio Toribio Solis, ex representante de la empresa fue quien presentó la documentación para participar en el proceso de selección de la referencia.</w:t>
      </w:r>
    </w:p>
    <w:p w:rsidR="00675FD1" w:rsidRPr="00675FD1" w:rsidRDefault="00675FD1" w:rsidP="00675FD1">
      <w:pPr>
        <w:pStyle w:val="Prrafodelista"/>
        <w:rPr>
          <w:sz w:val="20"/>
          <w:szCs w:val="20"/>
        </w:rPr>
      </w:pPr>
    </w:p>
    <w:p w:rsidR="00675FD1" w:rsidRPr="00675FD1" w:rsidRDefault="00675FD1" w:rsidP="00675FD1">
      <w:pPr>
        <w:numPr>
          <w:ilvl w:val="0"/>
          <w:numId w:val="7"/>
        </w:numPr>
        <w:jc w:val="both"/>
        <w:rPr>
          <w:rFonts w:ascii="Tahoma" w:hAnsi="Tahoma" w:cs="Tahoma"/>
        </w:rPr>
      </w:pPr>
      <w:r w:rsidRPr="00675FD1">
        <w:rPr>
          <w:rFonts w:ascii="Tahoma" w:hAnsi="Tahoma" w:cs="Tahoma"/>
        </w:rPr>
        <w:t>Asimismo, señaló que su ex representante fue asesinado en el mes de diciembre de 2009, por lo que no se puede formular denuncia penal contra un fallecido, y por ende, la persona jurídica no puede ser pasible de responsabilidad por los actos cometidos por una persona fallecida. Por otro lado, el contratista precisa que la obra fue culminada y entregada a satisfacción de la Entidad dentro del cronograma establecido.</w:t>
      </w:r>
    </w:p>
    <w:p w:rsidR="00675FD1" w:rsidRPr="00675FD1" w:rsidRDefault="00675FD1" w:rsidP="00675FD1">
      <w:pPr>
        <w:ind w:left="36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Al respecto, debe reiterarse que todo postor, persona natural o jurídica, es responsable de la veracidad de los documentos presentados ante la Entidad, hayan sido tramitados por sí mismo o por un tercero, por cuanto el beneficio por la falsificación incurrida recae directamente sobre él; destacándose que el </w:t>
      </w:r>
      <w:r w:rsidRPr="00675FD1">
        <w:rPr>
          <w:rFonts w:ascii="Tahoma" w:hAnsi="Tahoma" w:cs="Tahoma"/>
          <w:b/>
          <w:bCs/>
        </w:rPr>
        <w:t>hecho objetivo</w:t>
      </w:r>
      <w:r w:rsidRPr="00675FD1">
        <w:rPr>
          <w:rFonts w:ascii="Tahoma" w:hAnsi="Tahoma" w:cs="Tahoma"/>
        </w:rPr>
        <w:t xml:space="preserve"> de la presentación de documentos falsos no significa imputar la falsificación en sí al presentador, debido a que la norma de carácter administrativo sólo sanciona la presentación de documento falso sin indagar en la autoría de la falsificación, obligando a los proveedores, postores y contratistas a ser diligentes en cuanto a la veracidad de los documentos presentados, más todavía si los une la </w:t>
      </w:r>
      <w:r w:rsidRPr="00675FD1">
        <w:rPr>
          <w:rFonts w:ascii="Tahoma" w:hAnsi="Tahoma" w:cs="Tahoma"/>
          <w:i/>
          <w:iCs/>
        </w:rPr>
        <w:t>responsabilidad vicaria</w:t>
      </w:r>
      <w:r w:rsidRPr="00675FD1">
        <w:rPr>
          <w:rFonts w:ascii="Tahoma" w:hAnsi="Tahoma" w:cs="Tahoma"/>
          <w:i/>
          <w:iCs/>
          <w:lang w:val="es-PE"/>
        </w:rPr>
        <w:t xml:space="preserve">, </w:t>
      </w:r>
      <w:r w:rsidRPr="00675FD1">
        <w:rPr>
          <w:rFonts w:ascii="Tahoma" w:hAnsi="Tahoma" w:cs="Tahoma"/>
          <w:lang w:val="es-PE"/>
        </w:rPr>
        <w:t xml:space="preserve">también llamada </w:t>
      </w:r>
      <w:r w:rsidRPr="00675FD1">
        <w:rPr>
          <w:rFonts w:ascii="Tahoma" w:hAnsi="Tahoma" w:cs="Tahoma"/>
          <w:i/>
          <w:iCs/>
          <w:lang w:val="es-PE"/>
        </w:rPr>
        <w:t xml:space="preserve">in vigilando, </w:t>
      </w:r>
      <w:r w:rsidRPr="00675FD1">
        <w:rPr>
          <w:rFonts w:ascii="Tahoma" w:hAnsi="Tahoma" w:cs="Tahoma"/>
          <w:lang w:val="es-PE"/>
        </w:rPr>
        <w:t xml:space="preserve">respecto a sus trabajadores o como colaboradores, como es en este caso el ex Gerente, </w:t>
      </w:r>
      <w:r w:rsidRPr="00675FD1">
        <w:rPr>
          <w:rFonts w:ascii="Tahoma" w:hAnsi="Tahoma" w:cs="Tahoma"/>
          <w:i/>
          <w:iCs/>
          <w:lang w:val="es-PE"/>
        </w:rPr>
        <w:t xml:space="preserve"> </w:t>
      </w:r>
      <w:r w:rsidRPr="00675FD1">
        <w:rPr>
          <w:rFonts w:ascii="Tahoma" w:hAnsi="Tahoma" w:cs="Tahoma"/>
        </w:rPr>
        <w:t xml:space="preserve"> presunto responsable.</w:t>
      </w:r>
    </w:p>
    <w:p w:rsidR="00675FD1" w:rsidRPr="00675FD1" w:rsidRDefault="00675FD1" w:rsidP="00675FD1">
      <w:pPr>
        <w:pStyle w:val="Prrafodelista"/>
        <w:rPr>
          <w:sz w:val="20"/>
          <w:szCs w:val="20"/>
        </w:rPr>
      </w:pPr>
    </w:p>
    <w:p w:rsidR="00675FD1" w:rsidRPr="00675FD1" w:rsidRDefault="00675FD1" w:rsidP="00675FD1">
      <w:pPr>
        <w:numPr>
          <w:ilvl w:val="0"/>
          <w:numId w:val="7"/>
        </w:numPr>
        <w:jc w:val="both"/>
        <w:rPr>
          <w:rFonts w:ascii="Tahoma" w:hAnsi="Tahoma" w:cs="Tahoma"/>
        </w:rPr>
      </w:pPr>
      <w:r w:rsidRPr="00675FD1">
        <w:rPr>
          <w:rFonts w:ascii="Tahoma" w:hAnsi="Tahoma" w:cs="Tahoma"/>
        </w:rPr>
        <w:t>Por otro lado, el contratista precisa que la obra fue culminada y entregada a satisfacción de la Entidad dentro del cronograma establecido.</w:t>
      </w:r>
    </w:p>
    <w:p w:rsidR="00675FD1" w:rsidRPr="00675FD1" w:rsidRDefault="00675FD1" w:rsidP="00675FD1">
      <w:pPr>
        <w:pStyle w:val="Prrafodelista"/>
        <w:rPr>
          <w:sz w:val="20"/>
          <w:szCs w:val="20"/>
        </w:rPr>
      </w:pPr>
    </w:p>
    <w:p w:rsidR="00675FD1" w:rsidRPr="00675FD1" w:rsidRDefault="00675FD1" w:rsidP="00675FD1">
      <w:pPr>
        <w:numPr>
          <w:ilvl w:val="0"/>
          <w:numId w:val="7"/>
        </w:numPr>
        <w:jc w:val="both"/>
        <w:rPr>
          <w:rFonts w:ascii="Tahoma" w:hAnsi="Tahoma" w:cs="Tahoma"/>
        </w:rPr>
      </w:pPr>
      <w:r w:rsidRPr="00675FD1">
        <w:rPr>
          <w:rFonts w:ascii="Tahoma" w:hAnsi="Tahoma" w:cs="Tahoma"/>
        </w:rPr>
        <w:t>En relación a ello, debe señalarse que el cumplimiento de las obligaciones contractuales del Consorcio no tiene injerencia en la configuración de la causal tipificada como sancionable, por lo que no puede emplearse dicho argumento como un eximente de responsabilidad a la presentación de documentos falsos.</w:t>
      </w:r>
    </w:p>
    <w:p w:rsidR="00675FD1" w:rsidRPr="00675FD1" w:rsidRDefault="00675FD1" w:rsidP="00675FD1">
      <w:pPr>
        <w:rPr>
          <w:rFonts w:ascii="Tahoma" w:hAnsi="Tahoma" w:cs="Tahoma"/>
        </w:rPr>
      </w:pPr>
    </w:p>
    <w:p w:rsidR="00675FD1" w:rsidRPr="00675FD1" w:rsidRDefault="00675FD1" w:rsidP="00675FD1">
      <w:pPr>
        <w:numPr>
          <w:ilvl w:val="0"/>
          <w:numId w:val="7"/>
        </w:numPr>
        <w:jc w:val="both"/>
        <w:rPr>
          <w:rFonts w:ascii="Tahoma" w:hAnsi="Tahoma" w:cs="Tahoma"/>
          <w:b/>
          <w:bCs/>
        </w:rPr>
      </w:pPr>
      <w:r w:rsidRPr="00675FD1">
        <w:rPr>
          <w:rFonts w:ascii="Tahoma" w:hAnsi="Tahoma" w:cs="Tahoma"/>
        </w:rPr>
        <w:t>En ese orden de ideas, se concluy</w:t>
      </w:r>
      <w:r w:rsidR="00D64E12">
        <w:rPr>
          <w:rFonts w:ascii="Tahoma" w:hAnsi="Tahoma" w:cs="Tahoma"/>
        </w:rPr>
        <w:t>e que el Consorcio ha   contraveni</w:t>
      </w:r>
      <w:r w:rsidRPr="00675FD1">
        <w:rPr>
          <w:rFonts w:ascii="Tahoma" w:hAnsi="Tahoma" w:cs="Tahoma"/>
        </w:rPr>
        <w:t xml:space="preserve">do el  </w:t>
      </w:r>
      <w:r w:rsidRPr="00675FD1">
        <w:rPr>
          <w:rFonts w:ascii="Tahoma" w:hAnsi="Tahoma" w:cs="Tahoma"/>
          <w:i/>
          <w:iCs/>
        </w:rPr>
        <w:t>Principio de Moralidad</w:t>
      </w:r>
      <w:r w:rsidRPr="00675FD1">
        <w:rPr>
          <w:rFonts w:ascii="Tahoma" w:hAnsi="Tahoma" w:cs="Tahoma"/>
        </w:rPr>
        <w:t xml:space="preserve">, así como lo dispuesto en el artículo 62º del Reglamento, </w:t>
      </w:r>
      <w:r w:rsidRPr="00675FD1">
        <w:rPr>
          <w:rFonts w:ascii="Tahoma" w:hAnsi="Tahoma" w:cs="Tahoma"/>
          <w:b/>
          <w:bCs/>
        </w:rPr>
        <w:t>que establece que el Postor será responsable de la exactitud y veracidad de los documentos que presente como parte de su propuesta técnica.</w:t>
      </w:r>
    </w:p>
    <w:p w:rsidR="00675FD1" w:rsidRPr="00675FD1" w:rsidRDefault="00675FD1" w:rsidP="00675FD1">
      <w:pPr>
        <w:rPr>
          <w:rFonts w:ascii="Tahoma" w:hAnsi="Tahoma" w:cs="Tahoma"/>
          <w:b/>
          <w:bCs/>
        </w:rPr>
      </w:pPr>
    </w:p>
    <w:p w:rsidR="00675FD1" w:rsidRPr="00675FD1" w:rsidRDefault="00675FD1" w:rsidP="00675FD1">
      <w:pPr>
        <w:numPr>
          <w:ilvl w:val="0"/>
          <w:numId w:val="7"/>
        </w:numPr>
        <w:tabs>
          <w:tab w:val="num" w:pos="567"/>
        </w:tabs>
        <w:jc w:val="both"/>
        <w:rPr>
          <w:rFonts w:ascii="Tahoma" w:hAnsi="Tahoma" w:cs="Tahoma"/>
          <w:b/>
          <w:bCs/>
        </w:rPr>
      </w:pPr>
      <w:r w:rsidRPr="00675FD1">
        <w:rPr>
          <w:rFonts w:ascii="Tahoma" w:hAnsi="Tahoma" w:cs="Tahoma"/>
          <w:b/>
          <w:bCs/>
        </w:rPr>
        <w:t xml:space="preserve">  </w:t>
      </w:r>
      <w:r w:rsidRPr="00675FD1">
        <w:rPr>
          <w:rFonts w:ascii="Tahoma" w:hAnsi="Tahoma" w:cs="Tahoma"/>
        </w:rPr>
        <w:t xml:space="preserve">Consecuentemente, al haberse determinado que la conducta desarrollada por el Consorcio califica dentro del supuesto de hecho de la infracción tipificada en el numeral 1) literal i) del artículo 51 de la Ley y 237 del Reglamento, corresponde imponer una sanción administrativa de inhabilitación para ser postor y contratar con el Estado por un período no menor de doce (12) ni mayor de treintaiseis (36) meses, </w:t>
      </w:r>
      <w:r w:rsidRPr="00675FD1">
        <w:rPr>
          <w:rFonts w:ascii="Tahoma" w:hAnsi="Tahoma" w:cs="Tahoma"/>
          <w:lang w:val="es-MX"/>
        </w:rPr>
        <w:t xml:space="preserve">conforme a los </w:t>
      </w:r>
      <w:r w:rsidRPr="00675FD1">
        <w:rPr>
          <w:rFonts w:ascii="Tahoma" w:hAnsi="Tahoma" w:cs="Tahoma"/>
          <w:lang w:val="es-MX"/>
        </w:rPr>
        <w:lastRenderedPageBreak/>
        <w:t xml:space="preserve">criterios </w:t>
      </w:r>
      <w:r w:rsidRPr="00675FD1">
        <w:rPr>
          <w:rFonts w:ascii="Tahoma" w:hAnsi="Tahoma" w:cs="Tahoma"/>
        </w:rPr>
        <w:t>para la determinación gradual de la sanción previstos en el artículo 245</w:t>
      </w:r>
      <w:r w:rsidRPr="00675FD1">
        <w:rPr>
          <w:rFonts w:ascii="Tahoma" w:hAnsi="Tahoma" w:cs="Tahoma"/>
          <w:vertAlign w:val="superscript"/>
        </w:rPr>
        <w:footnoteReference w:id="8"/>
      </w:r>
      <w:r w:rsidRPr="00675FD1">
        <w:rPr>
          <w:rFonts w:ascii="Tahoma" w:hAnsi="Tahoma" w:cs="Tahoma"/>
        </w:rPr>
        <w:t xml:space="preserve"> del Reglamento.</w:t>
      </w:r>
    </w:p>
    <w:p w:rsidR="00675FD1" w:rsidRPr="00675FD1" w:rsidRDefault="00675FD1" w:rsidP="00675FD1">
      <w:pPr>
        <w:ind w:left="720"/>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Ahora bien, teniendo en cuenta que se ha determinado responsabilidad administrativa por la presentación de un documento falso, y al tratarse el postor de un consorcio conformado por dos proveedores, corresponde aplicar las disposiciones que al respecto contiene el Reglamento.</w:t>
      </w:r>
    </w:p>
    <w:p w:rsidR="00675FD1" w:rsidRPr="00675FD1" w:rsidRDefault="00675FD1" w:rsidP="00675FD1">
      <w:pPr>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 En este sentido, el artículo 239º del Reglamento señala que las infracciones cometidas por un Consorcio durante la ejecución del contrato, se imputará a todos los integrantes del mismo, aplicándose a cada uno de ellos la sanción que le corresponde.</w:t>
      </w:r>
    </w:p>
    <w:p w:rsidR="00675FD1" w:rsidRPr="00675FD1" w:rsidRDefault="00675FD1" w:rsidP="00675FD1">
      <w:pPr>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 xml:space="preserve">En tal sentido, y a efectos de graduar la sanción a imponerse a las empresas consorciadas, este Colegiado tiene en cuenta el </w:t>
      </w:r>
      <w:r w:rsidRPr="00675FD1">
        <w:rPr>
          <w:rFonts w:ascii="Tahoma" w:hAnsi="Tahoma" w:cs="Tahoma"/>
          <w:i/>
          <w:iCs/>
        </w:rPr>
        <w:t>Principio de Razonabilidad y Proporcionalidad</w:t>
      </w:r>
      <w:r w:rsidRPr="00675FD1">
        <w:rPr>
          <w:rFonts w:ascii="Tahoma" w:hAnsi="Tahoma" w:cs="Tahoma"/>
        </w:rPr>
        <w:t>,  a través del cual la “ facultad de imponer sanciones en el orden administrativo, como ha sucedido en el presente caso, no supone en absoluto que ella se un potestad discrecional que los órganos de la administración puedan ejercer sin más límite que su propio criterio, sino que debe encontrarse siempre adecuados a los principios antes referidos, lo que exige una coherente y razonable proporción entre los actos a los que se reputa la comisión de faltas administrativas y las sanciones que se impongan, desde que en nuestro ordenamiento jurídico está proscrita la arbitrariedad, y se encuentra en vigencia, más bien, el principio de la interdicción de la arbitrariedad”.</w:t>
      </w:r>
    </w:p>
    <w:p w:rsidR="00675FD1" w:rsidRPr="00675FD1" w:rsidRDefault="00675FD1" w:rsidP="00675FD1">
      <w:pPr>
        <w:rPr>
          <w:rFonts w:ascii="Tahoma" w:hAnsi="Tahoma" w:cs="Tahoma"/>
        </w:rPr>
      </w:pPr>
    </w:p>
    <w:p w:rsidR="00675FD1" w:rsidRPr="00675FD1" w:rsidRDefault="00675FD1" w:rsidP="00675FD1">
      <w:pPr>
        <w:numPr>
          <w:ilvl w:val="0"/>
          <w:numId w:val="7"/>
        </w:numPr>
        <w:jc w:val="both"/>
        <w:rPr>
          <w:rFonts w:ascii="Tahoma" w:hAnsi="Tahoma" w:cs="Tahoma"/>
        </w:rPr>
      </w:pPr>
      <w:r w:rsidRPr="00675FD1">
        <w:rPr>
          <w:rFonts w:ascii="Tahoma" w:hAnsi="Tahoma" w:cs="Tahoma"/>
        </w:rPr>
        <w:t>Asimismo, las sanciones a ser aplicadas deberán ser proporcionales al incumplimiento calificado como infracción, debiendo observar los siguientes criterios que en orden de prelación se señalan a efectos de su graduación: a) La gravedad del daño al interés público y/o bien jurídico protegido; b) El perjuicio económico causado; c) La repetición y/o continuidad en la comisión de la infracción; d) Las circunstancias de la comisión de la infracción; e) El beneficio ilegalmente obtenido; y f) La existencia o no de intencionalidad en la conducta del infractor.</w:t>
      </w:r>
    </w:p>
    <w:p w:rsidR="00675FD1" w:rsidRPr="00675FD1" w:rsidRDefault="00675FD1" w:rsidP="00675FD1">
      <w:pPr>
        <w:pStyle w:val="Prrafodelista"/>
        <w:rPr>
          <w:sz w:val="20"/>
          <w:szCs w:val="20"/>
        </w:rPr>
      </w:pPr>
    </w:p>
    <w:p w:rsidR="00675FD1" w:rsidRPr="00675FD1" w:rsidRDefault="00675FD1" w:rsidP="00675FD1">
      <w:pPr>
        <w:numPr>
          <w:ilvl w:val="0"/>
          <w:numId w:val="7"/>
        </w:numPr>
        <w:tabs>
          <w:tab w:val="left" w:pos="0"/>
        </w:tabs>
        <w:autoSpaceDE w:val="0"/>
        <w:autoSpaceDN w:val="0"/>
        <w:adjustRightInd w:val="0"/>
        <w:jc w:val="both"/>
        <w:rPr>
          <w:rFonts w:ascii="Tahoma" w:hAnsi="Tahoma" w:cs="Tahoma"/>
        </w:rPr>
      </w:pPr>
      <w:r w:rsidRPr="00675FD1">
        <w:rPr>
          <w:rFonts w:ascii="Tahoma" w:hAnsi="Tahoma" w:cs="Tahoma"/>
        </w:rPr>
        <w:t xml:space="preserve">Al respecto, debe tenerse en consideración que, por su naturaleza, la infracción cometida reviste una considerable gravedad, debido a que vulnera el </w:t>
      </w:r>
      <w:r w:rsidRPr="00675FD1">
        <w:rPr>
          <w:rFonts w:ascii="Tahoma" w:hAnsi="Tahoma" w:cs="Tahoma"/>
          <w:i/>
          <w:iCs/>
        </w:rPr>
        <w:t xml:space="preserve">Principio de Moralidad </w:t>
      </w:r>
      <w:r w:rsidRPr="00675FD1">
        <w:rPr>
          <w:rFonts w:ascii="Tahoma" w:hAnsi="Tahoma" w:cs="Tahoma"/>
        </w:rPr>
        <w:t xml:space="preserve">que debe regir todos los actos vinculados a las contrataciones públicas. Por lo demás, dicho principio, junto a la </w:t>
      </w:r>
      <w:r w:rsidRPr="00675FD1">
        <w:rPr>
          <w:rFonts w:ascii="Tahoma" w:hAnsi="Tahoma" w:cs="Tahoma"/>
          <w:i/>
          <w:iCs/>
        </w:rPr>
        <w:t>fe pública</w:t>
      </w:r>
      <w:r w:rsidRPr="00675FD1">
        <w:rPr>
          <w:rFonts w:ascii="Tahoma" w:hAnsi="Tahoma" w:cs="Tahoma"/>
        </w:rPr>
        <w:t>, constituyen bienes jurídicos merecedores de protección especial, pues constituyen los pilares de las relaciones suscitadas entre la Administración Pública y los administrados.</w:t>
      </w:r>
    </w:p>
    <w:p w:rsidR="00675FD1" w:rsidRPr="00675FD1" w:rsidRDefault="00675FD1" w:rsidP="00675FD1">
      <w:pPr>
        <w:pStyle w:val="Prrafodelista"/>
        <w:rPr>
          <w:sz w:val="20"/>
          <w:szCs w:val="20"/>
        </w:rPr>
      </w:pPr>
    </w:p>
    <w:p w:rsidR="00675FD1" w:rsidRPr="00675FD1" w:rsidRDefault="00675FD1" w:rsidP="00675FD1">
      <w:pPr>
        <w:numPr>
          <w:ilvl w:val="0"/>
          <w:numId w:val="7"/>
        </w:numPr>
        <w:tabs>
          <w:tab w:val="left" w:pos="0"/>
        </w:tabs>
        <w:autoSpaceDE w:val="0"/>
        <w:autoSpaceDN w:val="0"/>
        <w:adjustRightInd w:val="0"/>
        <w:jc w:val="both"/>
        <w:rPr>
          <w:rFonts w:ascii="Tahoma" w:hAnsi="Tahoma" w:cs="Tahoma"/>
        </w:rPr>
      </w:pPr>
      <w:r w:rsidRPr="00675FD1">
        <w:rPr>
          <w:rFonts w:ascii="Tahoma" w:hAnsi="Tahoma" w:cs="Tahoma"/>
        </w:rPr>
        <w:t>En igual sentido, en cuanto al criterio de intencionalidad del infractor, se ha podido dilucidar que la conducta del postor llevaba implícita la consecución de un fin, como era la de presentar un documento indispensable para la firma del contrato, sin el cual habría perdido la buena pro.</w:t>
      </w:r>
    </w:p>
    <w:p w:rsidR="00675FD1" w:rsidRPr="00675FD1" w:rsidRDefault="00675FD1" w:rsidP="00675FD1">
      <w:pPr>
        <w:pStyle w:val="Prrafodelista"/>
        <w:rPr>
          <w:sz w:val="20"/>
          <w:szCs w:val="20"/>
        </w:rPr>
      </w:pPr>
    </w:p>
    <w:p w:rsidR="00675FD1" w:rsidRPr="00675FD1" w:rsidRDefault="00675FD1" w:rsidP="00675FD1">
      <w:pPr>
        <w:numPr>
          <w:ilvl w:val="0"/>
          <w:numId w:val="7"/>
        </w:numPr>
        <w:tabs>
          <w:tab w:val="left" w:pos="0"/>
        </w:tabs>
        <w:autoSpaceDE w:val="0"/>
        <w:autoSpaceDN w:val="0"/>
        <w:adjustRightInd w:val="0"/>
        <w:jc w:val="both"/>
        <w:rPr>
          <w:rFonts w:ascii="Tahoma" w:hAnsi="Tahoma" w:cs="Tahoma"/>
        </w:rPr>
      </w:pPr>
      <w:r w:rsidRPr="00675FD1">
        <w:rPr>
          <w:rFonts w:ascii="Tahoma" w:hAnsi="Tahoma" w:cs="Tahoma"/>
        </w:rPr>
        <w:t>Por otro lado, en relación a la reiterancia, debe indicarse que las empresas consorciadas no cuentan con antecedentes de haber sido restringidos en sus derechos de participar en procesos de selección ni contratar con el Estado.</w:t>
      </w:r>
    </w:p>
    <w:p w:rsidR="00675FD1" w:rsidRPr="00675FD1" w:rsidRDefault="00675FD1" w:rsidP="00675FD1">
      <w:pPr>
        <w:pStyle w:val="Prrafodelista"/>
        <w:rPr>
          <w:sz w:val="20"/>
          <w:szCs w:val="20"/>
        </w:rPr>
      </w:pPr>
    </w:p>
    <w:p w:rsidR="00675FD1" w:rsidRPr="00675FD1" w:rsidRDefault="00675FD1" w:rsidP="00675FD1">
      <w:pPr>
        <w:numPr>
          <w:ilvl w:val="0"/>
          <w:numId w:val="7"/>
        </w:numPr>
        <w:tabs>
          <w:tab w:val="left" w:pos="0"/>
        </w:tabs>
        <w:autoSpaceDE w:val="0"/>
        <w:autoSpaceDN w:val="0"/>
        <w:adjustRightInd w:val="0"/>
        <w:jc w:val="both"/>
        <w:rPr>
          <w:rFonts w:ascii="Tahoma" w:hAnsi="Tahoma" w:cs="Tahoma"/>
        </w:rPr>
      </w:pPr>
      <w:r w:rsidRPr="00675FD1">
        <w:rPr>
          <w:rFonts w:ascii="Tahoma" w:hAnsi="Tahoma" w:cs="Tahoma"/>
        </w:rPr>
        <w:t>Asimismo, el lo referido a la conducta procesal de los infractores, debe tenerse en cuenta que la empresa EDIFICACIONES Y CONSTRUCTORES TORISOL S.A.C. formuló sus descargos oportunamente, hecho contrario a la empresa EMDA CONSTRUCTORA S.R.L. que no se apersonó al presente procedimiento.</w:t>
      </w:r>
    </w:p>
    <w:p w:rsidR="00675FD1" w:rsidRPr="00675FD1" w:rsidRDefault="00675FD1" w:rsidP="00675FD1">
      <w:pPr>
        <w:pStyle w:val="Prrafodelista"/>
        <w:rPr>
          <w:sz w:val="20"/>
          <w:szCs w:val="20"/>
        </w:rPr>
      </w:pPr>
    </w:p>
    <w:p w:rsidR="00675FD1" w:rsidRPr="00675FD1" w:rsidRDefault="00675FD1" w:rsidP="00675FD1">
      <w:pPr>
        <w:widowControl w:val="0"/>
        <w:numPr>
          <w:ilvl w:val="0"/>
          <w:numId w:val="7"/>
        </w:numPr>
        <w:suppressAutoHyphens/>
        <w:jc w:val="both"/>
        <w:rPr>
          <w:rFonts w:ascii="Tahoma" w:hAnsi="Tahoma" w:cs="Tahoma"/>
        </w:rPr>
      </w:pPr>
      <w:r w:rsidRPr="00675FD1">
        <w:rPr>
          <w:rFonts w:ascii="Tahoma" w:hAnsi="Tahoma" w:cs="Tahoma"/>
        </w:rPr>
        <w:t>Consecuentemente, en virtud a los criterios expuestos, este Colegiado considera que corresponde imponer a la empresa EDIFICACIONES Y CONSTRUCTORES TORISOL S.A.C. y EMDA CONSTRUCTORA S.R.L., una sanción equivalente a doce (12) meses de inhabilitación temporal para participar en procesos de selección y para contratar con el Estado, respectivamente.</w:t>
      </w:r>
    </w:p>
    <w:p w:rsidR="00675FD1" w:rsidRPr="00675FD1" w:rsidRDefault="00675FD1" w:rsidP="00675FD1">
      <w:pPr>
        <w:widowControl w:val="0"/>
        <w:suppressAutoHyphens/>
        <w:ind w:left="720"/>
        <w:rPr>
          <w:rFonts w:ascii="Tahoma" w:hAnsi="Tahoma" w:cs="Tahoma"/>
        </w:rPr>
      </w:pPr>
    </w:p>
    <w:p w:rsidR="00675FD1" w:rsidRPr="00675FD1" w:rsidRDefault="00675FD1" w:rsidP="00675FD1">
      <w:pPr>
        <w:numPr>
          <w:ilvl w:val="0"/>
          <w:numId w:val="7"/>
        </w:numPr>
        <w:jc w:val="both"/>
        <w:rPr>
          <w:rFonts w:ascii="Tahoma" w:hAnsi="Tahoma" w:cs="Tahoma"/>
          <w:b/>
          <w:bCs/>
        </w:rPr>
      </w:pPr>
      <w:r w:rsidRPr="00675FD1">
        <w:rPr>
          <w:rFonts w:ascii="Tahoma" w:hAnsi="Tahoma" w:cs="Tahoma"/>
        </w:rPr>
        <w:t>Finalmente, atendiendo a que la falsificación de documentos constituye un ilícito penal, previsto y sancionado en el artículo 427º del Código Penal</w:t>
      </w:r>
      <w:r w:rsidRPr="00675FD1">
        <w:rPr>
          <w:rFonts w:ascii="Tahoma" w:hAnsi="Tahoma" w:cs="Tahoma"/>
          <w:vertAlign w:val="superscript"/>
        </w:rPr>
        <w:footnoteReference w:id="9"/>
      </w:r>
      <w:r w:rsidRPr="00675FD1">
        <w:rPr>
          <w:rFonts w:ascii="Tahoma" w:hAnsi="Tahoma" w:cs="Tahoma"/>
        </w:rPr>
        <w:t>, el cual tutela como bien jurídico la fe pública y la funcionalidad del documento en el tráfico jurídico y trata de evitar perjuicios que afecten la confiabilidad especialmente en las adquisiciones que realiza el Estado, y que, además, de acuerdo lo establecido en el artículo 438º del referido Código Penal</w:t>
      </w:r>
      <w:r w:rsidRPr="00675FD1">
        <w:rPr>
          <w:rFonts w:ascii="Tahoma" w:hAnsi="Tahoma" w:cs="Tahoma"/>
          <w:vertAlign w:val="superscript"/>
        </w:rPr>
        <w:footnoteReference w:id="10"/>
      </w:r>
      <w:r w:rsidRPr="00675FD1">
        <w:rPr>
          <w:rFonts w:ascii="Tahoma" w:hAnsi="Tahoma" w:cs="Tahoma"/>
        </w:rPr>
        <w:t>, también se encuentran tipificados como delito de falsedad genérica aquellos en los que se cometa falsedad simulando, suponiendo, alterando la verdad intencionalmente y con perjuicio de terceros, por palabras, hechos o usurpando nombre, calidad o empleo que no le corresponde, se dispone poner en conocimiento del Ministerio Público y la Presidencia del OSCE los hechos expuestos para que procedan conforme a sus atribuciones.</w:t>
      </w:r>
    </w:p>
    <w:p w:rsidR="00675FD1" w:rsidRPr="00675FD1" w:rsidRDefault="00675FD1" w:rsidP="00675FD1">
      <w:pPr>
        <w:ind w:left="720"/>
        <w:rPr>
          <w:rFonts w:ascii="Tahoma" w:hAnsi="Tahoma" w:cs="Tahoma"/>
        </w:rPr>
      </w:pPr>
    </w:p>
    <w:p w:rsidR="00675FD1" w:rsidRPr="00675FD1" w:rsidRDefault="00675FD1" w:rsidP="00675FD1">
      <w:pPr>
        <w:tabs>
          <w:tab w:val="left" w:pos="3544"/>
          <w:tab w:val="left" w:pos="7230"/>
          <w:tab w:val="left" w:pos="8505"/>
        </w:tabs>
        <w:autoSpaceDE w:val="0"/>
        <w:autoSpaceDN w:val="0"/>
        <w:adjustRightInd w:val="0"/>
        <w:ind w:firstLine="567"/>
        <w:jc w:val="both"/>
        <w:rPr>
          <w:rFonts w:ascii="Tahoma" w:eastAsia="Calibri" w:hAnsi="Tahoma" w:cs="Tahoma"/>
          <w:color w:val="000000"/>
        </w:rPr>
      </w:pPr>
      <w:r w:rsidRPr="00675FD1">
        <w:rPr>
          <w:rFonts w:ascii="Tahoma" w:eastAsia="Calibri" w:hAnsi="Tahoma" w:cs="Tahoma"/>
          <w:color w:val="000000"/>
        </w:rPr>
        <w:t>Por estos fundamentos, de conformidad con el informe del Vocal Ponente Dra. Janette Elke Ramírez Maynetto y la intervención de los Vocales Dra. Ada Basulto Liewald y Dr. Carlos Fonseca Oliveira, y atendiendo a la reconformación de la Primera Sala del Tribunal de Contrataciones y Adquisiciones del Estado, según lo dispuesto en la Resolución № 190-2010-OSCE/PRE, expedida el 29 de marzo de 2010,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675FD1" w:rsidRDefault="00675FD1" w:rsidP="00675FD1">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025121" w:rsidRPr="00675FD1" w:rsidRDefault="00025121" w:rsidP="00675FD1">
      <w:pPr>
        <w:tabs>
          <w:tab w:val="left" w:pos="3544"/>
          <w:tab w:val="left" w:pos="7230"/>
          <w:tab w:val="left" w:pos="8505"/>
        </w:tabs>
        <w:autoSpaceDE w:val="0"/>
        <w:autoSpaceDN w:val="0"/>
        <w:adjustRightInd w:val="0"/>
        <w:ind w:firstLine="567"/>
        <w:jc w:val="both"/>
        <w:rPr>
          <w:rFonts w:ascii="Tahoma" w:eastAsia="Calibri" w:hAnsi="Tahoma" w:cs="Tahoma"/>
          <w:color w:val="000000"/>
        </w:rPr>
      </w:pPr>
    </w:p>
    <w:p w:rsidR="00675FD1" w:rsidRPr="00675FD1" w:rsidRDefault="00675FD1" w:rsidP="00675FD1">
      <w:pPr>
        <w:jc w:val="both"/>
        <w:rPr>
          <w:rFonts w:ascii="Tahoma" w:hAnsi="Tahoma" w:cs="Tahoma"/>
          <w:b/>
          <w:shadow/>
        </w:rPr>
      </w:pPr>
      <w:r w:rsidRPr="00675FD1">
        <w:rPr>
          <w:rFonts w:ascii="Tahoma" w:hAnsi="Tahoma" w:cs="Tahoma"/>
          <w:b/>
          <w:shadow/>
        </w:rPr>
        <w:t>LA SALA RESUELVE:</w:t>
      </w:r>
    </w:p>
    <w:p w:rsidR="00675FD1" w:rsidRPr="00675FD1" w:rsidRDefault="00675FD1" w:rsidP="00675FD1">
      <w:pPr>
        <w:ind w:left="720"/>
        <w:rPr>
          <w:rFonts w:ascii="Tahoma" w:hAnsi="Tahoma" w:cs="Tahoma"/>
        </w:rPr>
      </w:pPr>
    </w:p>
    <w:p w:rsidR="00675FD1" w:rsidRPr="00675FD1" w:rsidRDefault="00675FD1" w:rsidP="00675FD1">
      <w:pPr>
        <w:numPr>
          <w:ilvl w:val="0"/>
          <w:numId w:val="8"/>
        </w:numPr>
        <w:jc w:val="both"/>
        <w:rPr>
          <w:rFonts w:ascii="Tahoma" w:hAnsi="Tahoma" w:cs="Tahoma"/>
        </w:rPr>
      </w:pPr>
      <w:r w:rsidRPr="00675FD1">
        <w:rPr>
          <w:rFonts w:ascii="Tahoma" w:hAnsi="Tahoma" w:cs="Tahoma"/>
        </w:rPr>
        <w:t xml:space="preserve">Imponer a la empresa EDIFICACIONES Y CONSTRUCTORES TORISOL S.A.C., sanción administrativa de inhabilitación temporal por el periodo de doce (12) meses en sus </w:t>
      </w:r>
      <w:r w:rsidRPr="00675FD1">
        <w:rPr>
          <w:rFonts w:ascii="Tahoma" w:hAnsi="Tahoma" w:cs="Tahoma"/>
        </w:rPr>
        <w:lastRenderedPageBreak/>
        <w:t>derechos de participar en procesos de selección y contratar con el Estado, por la presentación de documentos falsos durante el desarrollo del Licitación Pública Nº 001-2009-MDH, la cual entrará en vigencia a partir del sexto día hábil siguiente de notificada la presente Resolución.</w:t>
      </w:r>
    </w:p>
    <w:p w:rsidR="00675FD1" w:rsidRPr="00675FD1" w:rsidRDefault="00675FD1" w:rsidP="00675FD1">
      <w:pPr>
        <w:ind w:left="720"/>
        <w:rPr>
          <w:rFonts w:ascii="Tahoma" w:hAnsi="Tahoma" w:cs="Tahoma"/>
        </w:rPr>
      </w:pPr>
    </w:p>
    <w:p w:rsidR="00675FD1" w:rsidRPr="00675FD1" w:rsidRDefault="00675FD1" w:rsidP="00675FD1">
      <w:pPr>
        <w:numPr>
          <w:ilvl w:val="0"/>
          <w:numId w:val="8"/>
        </w:numPr>
        <w:jc w:val="both"/>
        <w:rPr>
          <w:rFonts w:ascii="Tahoma" w:hAnsi="Tahoma" w:cs="Tahoma"/>
        </w:rPr>
      </w:pPr>
      <w:r w:rsidRPr="00675FD1">
        <w:rPr>
          <w:rFonts w:ascii="Tahoma" w:hAnsi="Tahoma" w:cs="Tahoma"/>
        </w:rPr>
        <w:t>Imponer a la empresa EMDA CONSTRUCTORA S.R.L., la sanción administrativa de inhabilitación temporal por el periodo de doce (12) meses en sus derechos de participar en procesos de selección y contratar con el Estado, por la presentación de documentos falsos durante el desarrollo del Licitación Pública Nº 001-2009-MDH, la cual entrará en vigencia a partir del sexto día hábil siguiente de notificada la presente Resolución.</w:t>
      </w:r>
    </w:p>
    <w:p w:rsidR="00675FD1" w:rsidRPr="00675FD1" w:rsidRDefault="00675FD1" w:rsidP="00675FD1">
      <w:pPr>
        <w:ind w:left="720"/>
        <w:rPr>
          <w:rFonts w:ascii="Tahoma" w:hAnsi="Tahoma" w:cs="Tahoma"/>
        </w:rPr>
      </w:pPr>
    </w:p>
    <w:p w:rsidR="00675FD1" w:rsidRPr="00675FD1" w:rsidRDefault="00675FD1" w:rsidP="00675FD1">
      <w:pPr>
        <w:numPr>
          <w:ilvl w:val="0"/>
          <w:numId w:val="8"/>
        </w:numPr>
        <w:jc w:val="both"/>
        <w:rPr>
          <w:rFonts w:ascii="Tahoma" w:hAnsi="Tahoma" w:cs="Tahoma"/>
        </w:rPr>
      </w:pPr>
      <w:r w:rsidRPr="00675FD1">
        <w:rPr>
          <w:rFonts w:ascii="Tahoma" w:hAnsi="Tahoma" w:cs="Tahoma"/>
        </w:rPr>
        <w:t>Poner la presente Resolución en conocimiento de la Subdirección del Registro Nacional de Proveedores del Organismo Supervisor de las Contrataciones del Estado (OSCE), para las anotaciones de Ley.</w:t>
      </w:r>
    </w:p>
    <w:p w:rsidR="00675FD1" w:rsidRPr="00675FD1" w:rsidRDefault="00675FD1" w:rsidP="00675FD1">
      <w:pPr>
        <w:ind w:left="720"/>
        <w:rPr>
          <w:rFonts w:ascii="Tahoma" w:hAnsi="Tahoma" w:cs="Tahoma"/>
        </w:rPr>
      </w:pPr>
    </w:p>
    <w:p w:rsidR="00675FD1" w:rsidRPr="00675FD1" w:rsidRDefault="00675FD1" w:rsidP="00675FD1">
      <w:pPr>
        <w:numPr>
          <w:ilvl w:val="0"/>
          <w:numId w:val="8"/>
        </w:numPr>
        <w:jc w:val="both"/>
        <w:rPr>
          <w:rFonts w:ascii="Tahoma" w:hAnsi="Tahoma" w:cs="Tahoma"/>
          <w:b/>
          <w:bCs/>
        </w:rPr>
      </w:pPr>
      <w:r w:rsidRPr="00675FD1">
        <w:rPr>
          <w:rFonts w:ascii="Tahoma" w:hAnsi="Tahoma" w:cs="Tahoma"/>
        </w:rPr>
        <w:t>Poner la presente Resolución en conocimiento del Ministerio Público y la Presidencia Ejecutiva del OSCE los hechos expuestos, para que procedan conforme a sus atribuciones.</w:t>
      </w:r>
    </w:p>
    <w:p w:rsidR="00675FD1" w:rsidRPr="00675FD1" w:rsidRDefault="00675FD1" w:rsidP="00675FD1">
      <w:pPr>
        <w:rPr>
          <w:rFonts w:ascii="Tahoma" w:hAnsi="Tahoma" w:cs="Tahoma"/>
        </w:rPr>
      </w:pPr>
    </w:p>
    <w:p w:rsidR="00675FD1" w:rsidRPr="00675FD1" w:rsidRDefault="00675FD1" w:rsidP="00675FD1">
      <w:pPr>
        <w:rPr>
          <w:rFonts w:ascii="Tahoma" w:hAnsi="Tahoma" w:cs="Tahoma"/>
        </w:rPr>
      </w:pPr>
    </w:p>
    <w:p w:rsidR="00675FD1" w:rsidRPr="00675FD1" w:rsidRDefault="00675FD1" w:rsidP="00675FD1">
      <w:pPr>
        <w:rPr>
          <w:rFonts w:ascii="Tahoma" w:hAnsi="Tahoma" w:cs="Tahoma"/>
        </w:rPr>
      </w:pPr>
    </w:p>
    <w:p w:rsidR="00675FD1" w:rsidRPr="00675FD1" w:rsidRDefault="00675FD1" w:rsidP="00675FD1">
      <w:pPr>
        <w:jc w:val="both"/>
        <w:rPr>
          <w:rFonts w:ascii="Tahoma" w:hAnsi="Tahoma" w:cs="Tahoma"/>
          <w:b/>
          <w:shadow/>
        </w:rPr>
      </w:pPr>
    </w:p>
    <w:p w:rsidR="00675FD1" w:rsidRPr="00675FD1" w:rsidRDefault="00675FD1" w:rsidP="00675FD1">
      <w:pPr>
        <w:pStyle w:val="Textoindependiente21"/>
        <w:rPr>
          <w:rFonts w:cs="Tahoma"/>
          <w:sz w:val="20"/>
        </w:rPr>
      </w:pPr>
      <w:r w:rsidRPr="00675FD1">
        <w:rPr>
          <w:rFonts w:cs="Tahoma"/>
          <w:sz w:val="20"/>
        </w:rPr>
        <w:t>Regístrese, comuníquese y publíquese.</w:t>
      </w:r>
    </w:p>
    <w:p w:rsidR="00675FD1" w:rsidRPr="00675FD1" w:rsidRDefault="00675FD1" w:rsidP="00675FD1">
      <w:pPr>
        <w:jc w:val="center"/>
        <w:rPr>
          <w:rFonts w:ascii="Tahoma" w:hAnsi="Tahoma" w:cs="Tahoma"/>
          <w:b/>
          <w:shadow/>
          <w:lang w:val="pt-BR"/>
        </w:rPr>
      </w:pPr>
    </w:p>
    <w:p w:rsidR="00675FD1" w:rsidRPr="00675FD1" w:rsidRDefault="00675FD1" w:rsidP="00675FD1">
      <w:pPr>
        <w:jc w:val="center"/>
        <w:rPr>
          <w:rFonts w:ascii="Tahoma" w:hAnsi="Tahoma" w:cs="Tahoma"/>
          <w:b/>
          <w:shadow/>
          <w:lang w:val="pt-BR"/>
        </w:rPr>
      </w:pPr>
    </w:p>
    <w:p w:rsidR="00675FD1" w:rsidRPr="00675FD1" w:rsidRDefault="00675FD1" w:rsidP="00675FD1">
      <w:pPr>
        <w:jc w:val="center"/>
        <w:rPr>
          <w:rFonts w:ascii="Tahoma" w:hAnsi="Tahoma" w:cs="Tahoma"/>
          <w:b/>
          <w:shadow/>
          <w:lang w:val="pt-BR"/>
        </w:rPr>
      </w:pPr>
    </w:p>
    <w:p w:rsidR="00675FD1" w:rsidRPr="00675FD1" w:rsidRDefault="00675FD1" w:rsidP="00675FD1">
      <w:pPr>
        <w:jc w:val="center"/>
        <w:rPr>
          <w:rFonts w:ascii="Tahoma" w:hAnsi="Tahoma" w:cs="Tahoma"/>
          <w:b/>
          <w:shadow/>
          <w:lang w:val="pt-BR"/>
        </w:rPr>
      </w:pPr>
    </w:p>
    <w:p w:rsidR="00675FD1" w:rsidRPr="00675FD1" w:rsidRDefault="00675FD1" w:rsidP="00675FD1">
      <w:pPr>
        <w:jc w:val="center"/>
        <w:rPr>
          <w:rFonts w:ascii="Tahoma" w:hAnsi="Tahoma" w:cs="Tahoma"/>
          <w:b/>
          <w:shadow/>
          <w:lang w:val="pt-BR"/>
        </w:rPr>
      </w:pPr>
      <w:r w:rsidRPr="00675FD1">
        <w:rPr>
          <w:rFonts w:ascii="Tahoma" w:hAnsi="Tahoma" w:cs="Tahoma"/>
          <w:b/>
          <w:shadow/>
          <w:lang w:val="pt-BR"/>
        </w:rPr>
        <w:t>PRESIDENTA</w:t>
      </w:r>
    </w:p>
    <w:p w:rsidR="00675FD1" w:rsidRPr="00675FD1" w:rsidRDefault="00675FD1" w:rsidP="00675FD1">
      <w:pPr>
        <w:jc w:val="both"/>
        <w:rPr>
          <w:rFonts w:ascii="Tahoma" w:hAnsi="Tahoma" w:cs="Tahoma"/>
          <w:b/>
          <w:shadow/>
          <w:lang w:val="pt-BR"/>
        </w:rPr>
      </w:pPr>
    </w:p>
    <w:p w:rsidR="00675FD1" w:rsidRPr="00675FD1" w:rsidRDefault="00675FD1" w:rsidP="00675FD1">
      <w:pPr>
        <w:jc w:val="both"/>
        <w:rPr>
          <w:rFonts w:ascii="Tahoma" w:hAnsi="Tahoma" w:cs="Tahoma"/>
          <w:b/>
          <w:shadow/>
          <w:lang w:val="pt-BR"/>
        </w:rPr>
      </w:pPr>
    </w:p>
    <w:p w:rsidR="00675FD1" w:rsidRPr="00675FD1" w:rsidRDefault="00675FD1" w:rsidP="00675FD1">
      <w:pPr>
        <w:jc w:val="both"/>
        <w:rPr>
          <w:rFonts w:ascii="Tahoma" w:hAnsi="Tahoma" w:cs="Tahoma"/>
          <w:b/>
          <w:shadow/>
          <w:lang w:val="pt-BR"/>
        </w:rPr>
      </w:pPr>
    </w:p>
    <w:p w:rsidR="00675FD1" w:rsidRPr="00675FD1" w:rsidRDefault="00675FD1" w:rsidP="00675FD1">
      <w:pPr>
        <w:jc w:val="both"/>
        <w:rPr>
          <w:rFonts w:ascii="Tahoma" w:hAnsi="Tahoma" w:cs="Tahoma"/>
          <w:b/>
          <w:shadow/>
          <w:lang w:val="pt-BR"/>
        </w:rPr>
      </w:pPr>
    </w:p>
    <w:p w:rsidR="00675FD1" w:rsidRPr="00675FD1" w:rsidRDefault="00675FD1" w:rsidP="00675FD1">
      <w:pPr>
        <w:jc w:val="both"/>
        <w:rPr>
          <w:rFonts w:ascii="Tahoma" w:hAnsi="Tahoma" w:cs="Tahoma"/>
          <w:b/>
          <w:shadow/>
          <w:lang w:val="pt-BR"/>
        </w:rPr>
      </w:pPr>
      <w:r w:rsidRPr="00675FD1">
        <w:rPr>
          <w:rFonts w:ascii="Tahoma" w:hAnsi="Tahoma" w:cs="Tahoma"/>
          <w:b/>
          <w:shadow/>
          <w:lang w:val="pt-BR"/>
        </w:rPr>
        <w:t xml:space="preserve">                      VOCAL           </w:t>
      </w:r>
      <w:r w:rsidRPr="00675FD1">
        <w:rPr>
          <w:rFonts w:ascii="Tahoma" w:hAnsi="Tahoma" w:cs="Tahoma"/>
          <w:b/>
          <w:shadow/>
          <w:lang w:val="pt-BR"/>
        </w:rPr>
        <w:tab/>
      </w:r>
      <w:r w:rsidRPr="00675FD1">
        <w:rPr>
          <w:rFonts w:ascii="Tahoma" w:hAnsi="Tahoma" w:cs="Tahoma"/>
          <w:b/>
          <w:shadow/>
          <w:lang w:val="pt-BR"/>
        </w:rPr>
        <w:tab/>
        <w:t xml:space="preserve">                                                              VOCAL</w:t>
      </w:r>
    </w:p>
    <w:p w:rsidR="00675FD1" w:rsidRPr="00675FD1" w:rsidRDefault="00675FD1" w:rsidP="00675FD1">
      <w:pPr>
        <w:ind w:firstLine="708"/>
        <w:jc w:val="both"/>
        <w:rPr>
          <w:rFonts w:ascii="Tahoma" w:hAnsi="Tahoma" w:cs="Tahoma"/>
          <w:b/>
          <w:shadow/>
          <w:lang w:val="pt-BR"/>
        </w:rPr>
      </w:pPr>
    </w:p>
    <w:p w:rsidR="00675FD1" w:rsidRPr="00675FD1" w:rsidRDefault="00675FD1" w:rsidP="00675FD1">
      <w:pPr>
        <w:ind w:firstLine="708"/>
        <w:jc w:val="both"/>
        <w:rPr>
          <w:rFonts w:ascii="Tahoma" w:hAnsi="Tahoma" w:cs="Tahoma"/>
          <w:b/>
          <w:shadow/>
          <w:lang w:val="pt-BR"/>
        </w:rPr>
      </w:pPr>
    </w:p>
    <w:p w:rsidR="00675FD1" w:rsidRPr="00675FD1" w:rsidRDefault="00675FD1" w:rsidP="00675FD1">
      <w:pPr>
        <w:jc w:val="both"/>
        <w:rPr>
          <w:rFonts w:ascii="Tahoma" w:hAnsi="Tahoma" w:cs="Tahoma"/>
          <w:lang w:val="pt-BR"/>
        </w:rPr>
      </w:pPr>
      <w:r w:rsidRPr="00675FD1">
        <w:rPr>
          <w:rFonts w:ascii="Tahoma" w:hAnsi="Tahoma" w:cs="Tahoma"/>
          <w:lang w:val="pt-BR"/>
        </w:rPr>
        <w:t>ss.</w:t>
      </w:r>
    </w:p>
    <w:p w:rsidR="00675FD1" w:rsidRPr="00675FD1" w:rsidRDefault="00675FD1" w:rsidP="00675FD1">
      <w:pPr>
        <w:pStyle w:val="Textoindependiente21"/>
        <w:rPr>
          <w:rFonts w:cs="Tahoma"/>
          <w:sz w:val="20"/>
          <w:lang w:val="en-US"/>
        </w:rPr>
      </w:pPr>
      <w:r w:rsidRPr="00675FD1">
        <w:rPr>
          <w:rFonts w:cs="Tahoma"/>
          <w:sz w:val="20"/>
          <w:lang w:val="en-US"/>
        </w:rPr>
        <w:t>Basulto Liewald.</w:t>
      </w:r>
    </w:p>
    <w:p w:rsidR="00675FD1" w:rsidRPr="00675FD1" w:rsidRDefault="00675FD1" w:rsidP="00675FD1">
      <w:pPr>
        <w:pStyle w:val="Textoindependiente21"/>
        <w:rPr>
          <w:rFonts w:cs="Tahoma"/>
          <w:sz w:val="20"/>
          <w:lang w:val="en-US"/>
        </w:rPr>
      </w:pPr>
      <w:r w:rsidRPr="00675FD1">
        <w:rPr>
          <w:rFonts w:cs="Tahoma"/>
          <w:sz w:val="20"/>
          <w:lang w:val="en-US"/>
        </w:rPr>
        <w:t>Ramírez Maynetto.</w:t>
      </w:r>
    </w:p>
    <w:p w:rsidR="00675FD1" w:rsidRPr="00675FD1" w:rsidRDefault="00675FD1" w:rsidP="00675FD1">
      <w:pPr>
        <w:pStyle w:val="Textoindependiente21"/>
        <w:rPr>
          <w:rFonts w:cs="Tahoma"/>
          <w:sz w:val="20"/>
        </w:rPr>
      </w:pPr>
      <w:r w:rsidRPr="00675FD1">
        <w:rPr>
          <w:rFonts w:cs="Tahoma"/>
          <w:sz w:val="20"/>
        </w:rPr>
        <w:t>Fonseca Oliveira.</w:t>
      </w:r>
    </w:p>
    <w:p w:rsidR="00260F0B" w:rsidRPr="00675FD1" w:rsidRDefault="007F4D7A">
      <w:pPr>
        <w:rPr>
          <w:rFonts w:ascii="Tahoma" w:hAnsi="Tahoma" w:cs="Tahoma"/>
        </w:rPr>
      </w:pPr>
    </w:p>
    <w:sectPr w:rsidR="00260F0B" w:rsidRPr="00675FD1" w:rsidSect="004A493F">
      <w:headerReference w:type="default" r:id="rId7"/>
      <w:footerReference w:type="even" r:id="rId8"/>
      <w:footerReference w:type="default" r:id="rId9"/>
      <w:pgSz w:w="11907" w:h="16840" w:code="9"/>
      <w:pgMar w:top="2694" w:right="1559" w:bottom="1418" w:left="1701" w:header="720" w:footer="107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4D7A" w:rsidRDefault="007F4D7A" w:rsidP="00675FD1">
      <w:r>
        <w:separator/>
      </w:r>
    </w:p>
  </w:endnote>
  <w:endnote w:type="continuationSeparator" w:id="1">
    <w:p w:rsidR="007F4D7A" w:rsidRDefault="007F4D7A" w:rsidP="00675FD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7" w:rsidRDefault="00542A63" w:rsidP="000D0D67">
    <w:pPr>
      <w:pStyle w:val="Piedepgina"/>
      <w:framePr w:wrap="around" w:vAnchor="text" w:hAnchor="margin" w:xAlign="center" w:y="1"/>
      <w:rPr>
        <w:rStyle w:val="Nmerodepgina"/>
      </w:rPr>
    </w:pPr>
    <w:r>
      <w:rPr>
        <w:rStyle w:val="Nmerodepgina"/>
      </w:rPr>
      <w:fldChar w:fldCharType="begin"/>
    </w:r>
    <w:r w:rsidR="002F04BB">
      <w:rPr>
        <w:rStyle w:val="Nmerodepgina"/>
      </w:rPr>
      <w:instrText xml:space="preserve">PAGE  </w:instrText>
    </w:r>
    <w:r>
      <w:rPr>
        <w:rStyle w:val="Nmerodepgina"/>
      </w:rPr>
      <w:fldChar w:fldCharType="end"/>
    </w:r>
  </w:p>
  <w:p w:rsidR="000D0D67" w:rsidRDefault="007F4D7A">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D67" w:rsidRPr="004A4E6B" w:rsidRDefault="002F04BB">
    <w:pPr>
      <w:pStyle w:val="Piedepgina"/>
      <w:framePr w:wrap="around" w:vAnchor="text" w:hAnchor="margin" w:xAlign="center" w:y="1"/>
      <w:rPr>
        <w:rStyle w:val="Nmerodepgina"/>
        <w:i/>
        <w:sz w:val="20"/>
      </w:rPr>
    </w:pPr>
    <w:r w:rsidRPr="004A4E6B">
      <w:rPr>
        <w:rStyle w:val="Nmerodepgina"/>
        <w:i/>
        <w:sz w:val="20"/>
      </w:rPr>
      <w:t xml:space="preserve">Página </w:t>
    </w:r>
    <w:r w:rsidR="00542A63" w:rsidRPr="004A4E6B">
      <w:rPr>
        <w:rStyle w:val="Nmerodepgina"/>
        <w:i/>
        <w:sz w:val="20"/>
      </w:rPr>
      <w:fldChar w:fldCharType="begin"/>
    </w:r>
    <w:r w:rsidRPr="004A4E6B">
      <w:rPr>
        <w:rStyle w:val="Nmerodepgina"/>
        <w:i/>
        <w:sz w:val="20"/>
      </w:rPr>
      <w:instrText xml:space="preserve"> PAGE </w:instrText>
    </w:r>
    <w:r w:rsidR="00542A63" w:rsidRPr="004A4E6B">
      <w:rPr>
        <w:rStyle w:val="Nmerodepgina"/>
        <w:i/>
        <w:sz w:val="20"/>
      </w:rPr>
      <w:fldChar w:fldCharType="separate"/>
    </w:r>
    <w:r w:rsidR="004B3DC2">
      <w:rPr>
        <w:rStyle w:val="Nmerodepgina"/>
        <w:i/>
        <w:noProof/>
        <w:sz w:val="20"/>
      </w:rPr>
      <w:t>5</w:t>
    </w:r>
    <w:r w:rsidR="00542A63" w:rsidRPr="004A4E6B">
      <w:rPr>
        <w:rStyle w:val="Nmerodepgina"/>
        <w:i/>
        <w:sz w:val="20"/>
      </w:rPr>
      <w:fldChar w:fldCharType="end"/>
    </w:r>
    <w:r w:rsidRPr="004A4E6B">
      <w:rPr>
        <w:rStyle w:val="Nmerodepgina"/>
        <w:i/>
        <w:sz w:val="20"/>
      </w:rPr>
      <w:t xml:space="preserve"> de </w:t>
    </w:r>
    <w:r w:rsidR="00542A63" w:rsidRPr="004A4E6B">
      <w:rPr>
        <w:rStyle w:val="Nmerodepgina"/>
        <w:i/>
        <w:sz w:val="20"/>
      </w:rPr>
      <w:fldChar w:fldCharType="begin"/>
    </w:r>
    <w:r w:rsidRPr="004A4E6B">
      <w:rPr>
        <w:rStyle w:val="Nmerodepgina"/>
        <w:i/>
        <w:sz w:val="20"/>
      </w:rPr>
      <w:instrText xml:space="preserve"> NUMPAGES </w:instrText>
    </w:r>
    <w:r w:rsidR="00542A63" w:rsidRPr="004A4E6B">
      <w:rPr>
        <w:rStyle w:val="Nmerodepgina"/>
        <w:i/>
        <w:sz w:val="20"/>
      </w:rPr>
      <w:fldChar w:fldCharType="separate"/>
    </w:r>
    <w:r w:rsidR="004B3DC2">
      <w:rPr>
        <w:rStyle w:val="Nmerodepgina"/>
        <w:i/>
        <w:noProof/>
        <w:sz w:val="20"/>
      </w:rPr>
      <w:t>8</w:t>
    </w:r>
    <w:r w:rsidR="00542A63" w:rsidRPr="004A4E6B">
      <w:rPr>
        <w:rStyle w:val="Nmerodepgina"/>
        <w:i/>
        <w:sz w:val="20"/>
      </w:rPr>
      <w:fldChar w:fldCharType="end"/>
    </w:r>
  </w:p>
  <w:p w:rsidR="000D0D67" w:rsidRDefault="007F4D7A">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4D7A" w:rsidRDefault="007F4D7A" w:rsidP="00675FD1">
      <w:r>
        <w:separator/>
      </w:r>
    </w:p>
  </w:footnote>
  <w:footnote w:type="continuationSeparator" w:id="1">
    <w:p w:rsidR="007F4D7A" w:rsidRDefault="007F4D7A" w:rsidP="00675FD1">
      <w:r>
        <w:continuationSeparator/>
      </w:r>
    </w:p>
  </w:footnote>
  <w:footnote w:id="2">
    <w:p w:rsidR="00675FD1" w:rsidRPr="0040213E" w:rsidRDefault="00675FD1" w:rsidP="00675FD1">
      <w:pPr>
        <w:pStyle w:val="Textoindependiente"/>
        <w:rPr>
          <w:rFonts w:ascii="Times New Roman" w:hAnsi="Times New Roman"/>
          <w:i/>
          <w:iCs/>
          <w:sz w:val="18"/>
          <w:szCs w:val="18"/>
          <w:lang w:eastAsia="en-US"/>
        </w:rPr>
      </w:pPr>
      <w:r w:rsidRPr="0040213E">
        <w:rPr>
          <w:rStyle w:val="Refdenotaalpie"/>
          <w:rFonts w:ascii="Times New Roman" w:hAnsi="Times New Roman"/>
          <w:i/>
          <w:iCs/>
          <w:sz w:val="18"/>
          <w:szCs w:val="18"/>
          <w:lang w:eastAsia="en-US"/>
        </w:rPr>
        <w:footnoteRef/>
      </w:r>
      <w:r w:rsidRPr="0040213E">
        <w:rPr>
          <w:rFonts w:ascii="Times New Roman" w:hAnsi="Times New Roman"/>
          <w:i/>
          <w:iCs/>
          <w:sz w:val="18"/>
          <w:szCs w:val="18"/>
          <w:lang w:eastAsia="en-US"/>
        </w:rPr>
        <w:t xml:space="preserve"> Aprobada por Decreto Legislativo Nº 1017.</w:t>
      </w:r>
    </w:p>
    <w:p w:rsidR="00675FD1" w:rsidRDefault="00675FD1" w:rsidP="00675FD1">
      <w:pPr>
        <w:pStyle w:val="Textoindependiente"/>
        <w:rPr>
          <w:sz w:val="24"/>
          <w:szCs w:val="24"/>
          <w:lang w:val="es-PE"/>
        </w:rPr>
      </w:pPr>
    </w:p>
  </w:footnote>
  <w:footnote w:id="3">
    <w:p w:rsidR="00675FD1" w:rsidRPr="0040213E" w:rsidRDefault="00675FD1" w:rsidP="00675FD1">
      <w:pPr>
        <w:pStyle w:val="Textoindependiente"/>
        <w:rPr>
          <w:rFonts w:ascii="Times New Roman" w:hAnsi="Times New Roman"/>
          <w:i/>
          <w:iCs/>
          <w:sz w:val="18"/>
          <w:szCs w:val="18"/>
          <w:lang w:eastAsia="en-US"/>
        </w:rPr>
      </w:pPr>
      <w:r w:rsidRPr="0040213E">
        <w:rPr>
          <w:rStyle w:val="Refdenotaalpie"/>
          <w:rFonts w:ascii="Times New Roman" w:hAnsi="Times New Roman"/>
          <w:i/>
          <w:iCs/>
          <w:sz w:val="18"/>
          <w:szCs w:val="18"/>
          <w:lang w:eastAsia="en-US"/>
        </w:rPr>
        <w:footnoteRef/>
      </w:r>
      <w:r w:rsidRPr="0040213E">
        <w:rPr>
          <w:rFonts w:ascii="Times New Roman" w:hAnsi="Times New Roman"/>
          <w:i/>
          <w:iCs/>
          <w:sz w:val="18"/>
          <w:szCs w:val="18"/>
          <w:lang w:eastAsia="en-US"/>
        </w:rPr>
        <w:t xml:space="preserve"> Aprobado por Decreto Supremo Nº 184-2008-EF.</w:t>
      </w:r>
    </w:p>
    <w:p w:rsidR="00675FD1" w:rsidRDefault="00675FD1" w:rsidP="00675FD1">
      <w:pPr>
        <w:pStyle w:val="Textoindependiente"/>
        <w:rPr>
          <w:sz w:val="24"/>
          <w:szCs w:val="24"/>
          <w:lang w:val="es-PE"/>
        </w:rPr>
      </w:pPr>
    </w:p>
  </w:footnote>
  <w:footnote w:id="4">
    <w:p w:rsidR="00675FD1" w:rsidRPr="0040213E" w:rsidRDefault="00675FD1" w:rsidP="00675FD1">
      <w:pPr>
        <w:pStyle w:val="Textoindependiente"/>
        <w:rPr>
          <w:rFonts w:ascii="Times New Roman" w:hAnsi="Times New Roman"/>
          <w:i/>
          <w:iCs/>
          <w:sz w:val="18"/>
          <w:szCs w:val="18"/>
          <w:lang w:eastAsia="en-US"/>
        </w:rPr>
      </w:pPr>
      <w:r w:rsidRPr="0040213E">
        <w:rPr>
          <w:rStyle w:val="Refdenotaalpie"/>
          <w:rFonts w:ascii="Times New Roman" w:hAnsi="Times New Roman"/>
          <w:b/>
          <w:bCs/>
          <w:i/>
          <w:iCs/>
          <w:sz w:val="18"/>
          <w:szCs w:val="18"/>
          <w:lang w:eastAsia="en-US"/>
        </w:rPr>
        <w:footnoteRef/>
      </w:r>
      <w:r w:rsidRPr="0040213E">
        <w:rPr>
          <w:rFonts w:ascii="Times New Roman" w:hAnsi="Times New Roman"/>
          <w:i/>
          <w:iCs/>
          <w:sz w:val="18"/>
          <w:szCs w:val="18"/>
          <w:lang w:eastAsia="en-US"/>
        </w:rPr>
        <w:t xml:space="preserve"> </w:t>
      </w:r>
      <w:r w:rsidRPr="0040213E">
        <w:rPr>
          <w:rFonts w:ascii="Times New Roman" w:hAnsi="Times New Roman"/>
          <w:b/>
          <w:bCs/>
          <w:i/>
          <w:iCs/>
          <w:sz w:val="18"/>
          <w:szCs w:val="18"/>
          <w:lang w:eastAsia="en-US"/>
        </w:rPr>
        <w:t>El Principio de Presunción de Veracidad</w:t>
      </w:r>
      <w:r w:rsidRPr="0040213E">
        <w:rPr>
          <w:rFonts w:ascii="Times New Roman" w:hAnsi="Times New Roman"/>
          <w:i/>
          <w:iCs/>
          <w:sz w:val="18"/>
          <w:szCs w:val="18"/>
          <w:lang w:eastAsia="en-US"/>
        </w:rPr>
        <w:t xml:space="preserve"> consiste en “el deber de suponer – por adelantado y con carácter provisorio – que los administrados proceden con verdad en sus actuaciones en el procedimiento que intervengan (rige tanto las relaciones de la Administración Pública con sus agentes como con el público). Sustituye la tradicional duda o escepticismo de la autoridad sobre los administrados”. MORÓN URBINA, Juan Carlos. </w:t>
      </w:r>
      <w:r w:rsidRPr="0040213E">
        <w:rPr>
          <w:rFonts w:ascii="Times New Roman" w:hAnsi="Times New Roman"/>
          <w:b/>
          <w:bCs/>
          <w:i/>
          <w:iCs/>
          <w:sz w:val="18"/>
          <w:szCs w:val="18"/>
          <w:lang w:eastAsia="en-US"/>
        </w:rPr>
        <w:t>Comentarios a la Ley del Procedimiento Administrativo General</w:t>
      </w:r>
      <w:r w:rsidRPr="0040213E">
        <w:rPr>
          <w:rFonts w:ascii="Times New Roman" w:hAnsi="Times New Roman"/>
          <w:i/>
          <w:iCs/>
          <w:sz w:val="18"/>
          <w:szCs w:val="18"/>
          <w:lang w:eastAsia="en-US"/>
        </w:rPr>
        <w:t>. Cuarta Edición. Lima: Gaceta Jurídica, 2005; pp. 74 -75.</w:t>
      </w:r>
    </w:p>
    <w:p w:rsidR="00675FD1" w:rsidRDefault="00675FD1" w:rsidP="00675FD1">
      <w:pPr>
        <w:pStyle w:val="Textoindependiente"/>
        <w:rPr>
          <w:sz w:val="24"/>
          <w:szCs w:val="24"/>
          <w:lang w:val="es-PE"/>
        </w:rPr>
      </w:pPr>
    </w:p>
  </w:footnote>
  <w:footnote w:id="5">
    <w:p w:rsidR="00675FD1" w:rsidRDefault="00675FD1" w:rsidP="00675FD1">
      <w:pPr>
        <w:pStyle w:val="Textoindependiente"/>
        <w:rPr>
          <w:sz w:val="24"/>
          <w:szCs w:val="24"/>
          <w:lang w:val="es-PE"/>
        </w:rPr>
      </w:pPr>
      <w:r>
        <w:rPr>
          <w:rStyle w:val="Refdenotaalpie"/>
          <w:sz w:val="16"/>
          <w:szCs w:val="16"/>
          <w:lang w:val="es-PE"/>
        </w:rPr>
        <w:footnoteRef/>
      </w:r>
      <w:r>
        <w:rPr>
          <w:rFonts w:cs="Tahoma"/>
          <w:sz w:val="16"/>
          <w:szCs w:val="16"/>
          <w:lang w:val="es-PE"/>
        </w:rPr>
        <w:t xml:space="preserve">A modo de ejemplo se puede revisar la Resolución N.º 888-2007/S3-TC de fecha 19 de julio de 2007. </w:t>
      </w:r>
    </w:p>
  </w:footnote>
  <w:footnote w:id="6">
    <w:p w:rsidR="00675FD1" w:rsidRDefault="00675FD1" w:rsidP="00675FD1">
      <w:pPr>
        <w:pStyle w:val="Textoindependiente"/>
      </w:pPr>
      <w:r>
        <w:rPr>
          <w:rStyle w:val="Refdenotaalpie"/>
          <w:i/>
          <w:iCs/>
          <w:sz w:val="16"/>
          <w:szCs w:val="16"/>
        </w:rPr>
        <w:footnoteRef/>
      </w:r>
      <w:r>
        <w:rPr>
          <w:i/>
          <w:iCs/>
          <w:sz w:val="16"/>
          <w:szCs w:val="16"/>
        </w:rPr>
        <w:t xml:space="preserve">  Artículo 42 de la Ley Nº 27444, Ley del Procedimiento Administrativo General.</w:t>
      </w:r>
    </w:p>
  </w:footnote>
  <w:footnote w:id="7">
    <w:p w:rsidR="00675FD1" w:rsidRDefault="00675FD1" w:rsidP="00675FD1">
      <w:pPr>
        <w:pStyle w:val="Textoindependiente"/>
      </w:pPr>
      <w:r>
        <w:rPr>
          <w:rStyle w:val="Refdenotaalpie"/>
          <w:i/>
          <w:iCs/>
          <w:sz w:val="16"/>
          <w:szCs w:val="16"/>
        </w:rPr>
        <w:footnoteRef/>
      </w:r>
      <w:r>
        <w:rPr>
          <w:i/>
          <w:iCs/>
          <w:sz w:val="16"/>
          <w:szCs w:val="16"/>
        </w:rPr>
        <w:t xml:space="preserve"> Literal c) del artículo 42 del Reglamento de la Ley de Contrataciones del Estado.</w:t>
      </w:r>
    </w:p>
  </w:footnote>
  <w:footnote w:id="8">
    <w:p w:rsidR="00675FD1" w:rsidRPr="00CD50F6" w:rsidRDefault="00675FD1" w:rsidP="00675FD1">
      <w:pPr>
        <w:pStyle w:val="Textoindependiente"/>
        <w:ind w:left="142" w:hanging="142"/>
        <w:rPr>
          <w:rFonts w:cs="Tahoma"/>
          <w:b/>
          <w:bCs/>
          <w:i/>
          <w:iCs/>
          <w:sz w:val="16"/>
          <w:szCs w:val="16"/>
          <w:lang w:eastAsia="en-US"/>
        </w:rPr>
      </w:pPr>
      <w:r w:rsidRPr="0040213E">
        <w:rPr>
          <w:rStyle w:val="Refdenotaalpie"/>
          <w:rFonts w:ascii="Times New Roman" w:hAnsi="Times New Roman"/>
          <w:i/>
          <w:iCs/>
          <w:sz w:val="18"/>
          <w:szCs w:val="18"/>
          <w:lang w:eastAsia="en-US"/>
        </w:rPr>
        <w:footnoteRef/>
      </w:r>
      <w:r w:rsidRPr="0040213E">
        <w:rPr>
          <w:rFonts w:ascii="Times New Roman" w:hAnsi="Times New Roman"/>
          <w:b/>
          <w:bCs/>
          <w:i/>
          <w:iCs/>
          <w:sz w:val="18"/>
          <w:szCs w:val="18"/>
          <w:lang w:eastAsia="en-US"/>
        </w:rPr>
        <w:t xml:space="preserve"> </w:t>
      </w:r>
      <w:r w:rsidRPr="00CD50F6">
        <w:rPr>
          <w:rFonts w:cs="Tahoma"/>
          <w:b/>
          <w:bCs/>
          <w:i/>
          <w:iCs/>
          <w:sz w:val="16"/>
          <w:szCs w:val="16"/>
          <w:lang w:eastAsia="en-US"/>
        </w:rPr>
        <w:t>Artículo 245.- Determinación gradual de la sanción.-</w:t>
      </w:r>
    </w:p>
    <w:p w:rsidR="00675FD1" w:rsidRPr="00CD50F6" w:rsidRDefault="00675FD1" w:rsidP="00675FD1">
      <w:pPr>
        <w:pStyle w:val="Textoindependiente"/>
        <w:ind w:left="142"/>
        <w:rPr>
          <w:rFonts w:cs="Tahoma"/>
          <w:i/>
          <w:iCs/>
          <w:sz w:val="16"/>
          <w:szCs w:val="16"/>
          <w:lang w:eastAsia="en-US"/>
        </w:rPr>
      </w:pPr>
      <w:r w:rsidRPr="00CD50F6">
        <w:rPr>
          <w:rFonts w:cs="Tahoma"/>
          <w:i/>
          <w:iCs/>
          <w:sz w:val="16"/>
          <w:szCs w:val="16"/>
          <w:lang w:eastAsia="en-US"/>
        </w:rPr>
        <w:t>Para graduar la sanción de inhabilitación temporal a imponerse conforme a las disposiciones del presente Título, el Tribunal considerará los siguientes criterios:</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Naturaleza de la infracción.</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Intencionalidad del infractor.</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Daño causado.</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Reiterancia.</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El reconocimiento de la infracción cometida antes de que sea detectada.</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Circunstancias de tiempo, lugar y modo.</w:t>
      </w:r>
    </w:p>
    <w:p w:rsidR="00675FD1" w:rsidRPr="00CD50F6" w:rsidRDefault="00675FD1" w:rsidP="00675FD1">
      <w:pPr>
        <w:pStyle w:val="Textoindependiente"/>
        <w:widowControl/>
        <w:numPr>
          <w:ilvl w:val="0"/>
          <w:numId w:val="6"/>
        </w:numPr>
        <w:tabs>
          <w:tab w:val="clear" w:pos="720"/>
          <w:tab w:val="num" w:pos="284"/>
        </w:tabs>
        <w:suppressAutoHyphens w:val="0"/>
        <w:ind w:left="284" w:firstLine="0"/>
        <w:rPr>
          <w:rFonts w:cs="Tahoma"/>
          <w:i/>
          <w:iCs/>
          <w:sz w:val="16"/>
          <w:szCs w:val="16"/>
          <w:lang w:eastAsia="en-US"/>
        </w:rPr>
      </w:pPr>
      <w:r w:rsidRPr="00CD50F6">
        <w:rPr>
          <w:rFonts w:cs="Tahoma"/>
          <w:i/>
          <w:iCs/>
          <w:sz w:val="16"/>
          <w:szCs w:val="16"/>
          <w:lang w:eastAsia="en-US"/>
        </w:rPr>
        <w:t>Condiciones del infractor.</w:t>
      </w:r>
    </w:p>
    <w:p w:rsidR="00675FD1" w:rsidRDefault="00675FD1" w:rsidP="00675FD1">
      <w:pPr>
        <w:pStyle w:val="Textoindependiente"/>
        <w:widowControl/>
        <w:numPr>
          <w:ilvl w:val="0"/>
          <w:numId w:val="6"/>
        </w:numPr>
        <w:tabs>
          <w:tab w:val="clear" w:pos="720"/>
          <w:tab w:val="num" w:pos="284"/>
        </w:tabs>
        <w:suppressAutoHyphens w:val="0"/>
        <w:ind w:left="284" w:firstLine="0"/>
        <w:rPr>
          <w:sz w:val="24"/>
          <w:szCs w:val="24"/>
          <w:lang w:val="es-PE"/>
        </w:rPr>
      </w:pPr>
      <w:r w:rsidRPr="00CD50F6">
        <w:rPr>
          <w:rFonts w:cs="Tahoma"/>
          <w:i/>
          <w:iCs/>
          <w:sz w:val="16"/>
          <w:szCs w:val="16"/>
          <w:lang w:eastAsia="en-US"/>
        </w:rPr>
        <w:t xml:space="preserve">Conducta procesal del infractor. </w:t>
      </w:r>
    </w:p>
  </w:footnote>
  <w:footnote w:id="9">
    <w:p w:rsidR="00675FD1" w:rsidRPr="00F42138" w:rsidRDefault="00675FD1" w:rsidP="00675FD1">
      <w:pPr>
        <w:pStyle w:val="Textoindependiente"/>
        <w:rPr>
          <w:rFonts w:ascii="Times New Roman" w:hAnsi="Times New Roman"/>
          <w:b/>
          <w:bCs/>
          <w:i/>
          <w:iCs/>
          <w:sz w:val="16"/>
          <w:szCs w:val="16"/>
          <w:lang w:eastAsia="en-US"/>
        </w:rPr>
      </w:pPr>
      <w:r w:rsidRPr="0040213E">
        <w:rPr>
          <w:rStyle w:val="Refdenotaalpie"/>
          <w:rFonts w:ascii="Times New Roman" w:hAnsi="Times New Roman"/>
          <w:i/>
          <w:iCs/>
          <w:sz w:val="18"/>
          <w:szCs w:val="18"/>
          <w:lang w:eastAsia="en-US"/>
        </w:rPr>
        <w:footnoteRef/>
      </w:r>
      <w:r w:rsidRPr="0040213E">
        <w:rPr>
          <w:rFonts w:ascii="Times New Roman" w:hAnsi="Times New Roman"/>
          <w:i/>
          <w:iCs/>
          <w:sz w:val="18"/>
          <w:szCs w:val="18"/>
          <w:lang w:eastAsia="en-US"/>
        </w:rPr>
        <w:t xml:space="preserve"> </w:t>
      </w:r>
      <w:r w:rsidRPr="00F42138">
        <w:rPr>
          <w:rFonts w:ascii="Times New Roman" w:hAnsi="Times New Roman"/>
          <w:b/>
          <w:bCs/>
          <w:i/>
          <w:iCs/>
          <w:sz w:val="16"/>
          <w:szCs w:val="16"/>
          <w:lang w:eastAsia="en-US"/>
        </w:rPr>
        <w:t>Artículo 427.- Falsificación de documentos</w:t>
      </w:r>
    </w:p>
    <w:p w:rsidR="00675FD1" w:rsidRDefault="00675FD1" w:rsidP="00675FD1">
      <w:pPr>
        <w:pStyle w:val="Textoindependiente"/>
        <w:rPr>
          <w:sz w:val="24"/>
          <w:szCs w:val="24"/>
          <w:lang w:val="es-PE"/>
        </w:rPr>
      </w:pPr>
      <w:r w:rsidRPr="00F42138">
        <w:rPr>
          <w:rFonts w:ascii="Times New Roman" w:hAnsi="Times New Roman"/>
          <w:i/>
          <w:iCs/>
          <w:sz w:val="16"/>
          <w:szCs w:val="16"/>
          <w:lang w:eastAsia="en-US"/>
        </w:rPr>
        <w:t xml:space="preserve">El que hace, en todo o en parte, un documento falso o altera uno verdadero que pueda dar origen a derecho u obligación o servir para probar un hecho, con el propósito de utilizar el documento, será reprimido, si de uso puede resultar algún perjuicio, con pena privativa de libertad no menor de dos ni mayor a diez años y con treinta a noventa días- multa si se trata de un documento público, registro público, título auténtico  o cualquier otro transmisible por endoso  o al portador o con pena privativa de libertad no menor de dos ni mayor a cuatro años, y con ciento ochenta a trescientos sesenticinco días multa, si se trata de un documento privado. </w:t>
      </w:r>
    </w:p>
  </w:footnote>
  <w:footnote w:id="10">
    <w:p w:rsidR="00675FD1" w:rsidRPr="00F42138" w:rsidRDefault="00675FD1" w:rsidP="00675FD1">
      <w:pPr>
        <w:pStyle w:val="Textoindependiente"/>
        <w:rPr>
          <w:rFonts w:ascii="Times New Roman" w:hAnsi="Times New Roman"/>
          <w:i/>
          <w:iCs/>
          <w:sz w:val="16"/>
          <w:szCs w:val="16"/>
          <w:lang w:eastAsia="en-US"/>
        </w:rPr>
      </w:pPr>
      <w:r w:rsidRPr="00F42138">
        <w:rPr>
          <w:rStyle w:val="Refdenotaalpie"/>
          <w:rFonts w:ascii="Times New Roman" w:hAnsi="Times New Roman"/>
          <w:i/>
          <w:iCs/>
          <w:sz w:val="16"/>
          <w:szCs w:val="16"/>
          <w:lang w:eastAsia="en-US"/>
        </w:rPr>
        <w:footnoteRef/>
      </w:r>
      <w:r w:rsidRPr="00F42138">
        <w:rPr>
          <w:rFonts w:ascii="Times New Roman" w:hAnsi="Times New Roman"/>
          <w:i/>
          <w:iCs/>
          <w:sz w:val="16"/>
          <w:szCs w:val="16"/>
          <w:lang w:eastAsia="en-US"/>
        </w:rPr>
        <w:t xml:space="preserve"> </w:t>
      </w:r>
      <w:r w:rsidRPr="00F42138">
        <w:rPr>
          <w:rFonts w:ascii="Times New Roman" w:hAnsi="Times New Roman"/>
          <w:b/>
          <w:bCs/>
          <w:i/>
          <w:iCs/>
          <w:sz w:val="16"/>
          <w:szCs w:val="16"/>
          <w:lang w:eastAsia="en-US"/>
        </w:rPr>
        <w:t>Artículo 438.- Falsedad genérica</w:t>
      </w:r>
      <w:r w:rsidRPr="00F42138">
        <w:rPr>
          <w:rFonts w:ascii="Times New Roman" w:hAnsi="Times New Roman"/>
          <w:i/>
          <w:iCs/>
          <w:sz w:val="16"/>
          <w:szCs w:val="16"/>
          <w:lang w:eastAsia="en-US"/>
        </w:rPr>
        <w:t xml:space="preserve"> </w:t>
      </w:r>
    </w:p>
    <w:p w:rsidR="00675FD1" w:rsidRDefault="00675FD1" w:rsidP="00675FD1">
      <w:pPr>
        <w:pStyle w:val="Textoindependiente"/>
        <w:rPr>
          <w:sz w:val="24"/>
          <w:szCs w:val="24"/>
          <w:lang w:val="es-PE"/>
        </w:rPr>
      </w:pPr>
      <w:r w:rsidRPr="00F42138">
        <w:rPr>
          <w:rFonts w:ascii="Times New Roman" w:hAnsi="Times New Roman"/>
          <w:i/>
          <w:iCs/>
          <w:sz w:val="16"/>
          <w:szCs w:val="16"/>
          <w:lang w:eastAsia="en-US"/>
        </w:rPr>
        <w:tab/>
        <w:t>El que de cualquier otro modo que no esté especificado en los Capítulos precedentes, comete falsedad simulando, suponiendo, alterando la verdad intencionalmente y con perjuicio de terceros, por palabras, hechos o usurpando nombre, calidad o empleo que no le corresponde, suponiendo viva a una persona fallecida o que no ha existido o viceversa, será reprimido con pena privativa de libertad no menor de dos ni mayor de cuatro años.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3DC2" w:rsidRDefault="004B3DC2" w:rsidP="004B3DC2">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4B3DC2" w:rsidRDefault="004B3DC2" w:rsidP="004B3DC2">
    <w:pPr>
      <w:pStyle w:val="Encabezado"/>
      <w:rPr>
        <w:noProof/>
      </w:rPr>
    </w:pPr>
  </w:p>
  <w:p w:rsidR="004B3DC2" w:rsidRDefault="004B3DC2" w:rsidP="004B3DC2">
    <w:pPr>
      <w:pStyle w:val="Encabezado"/>
      <w:rPr>
        <w:noProof/>
      </w:rPr>
    </w:pPr>
  </w:p>
  <w:p w:rsidR="004B3DC2" w:rsidRDefault="004B3DC2" w:rsidP="004B3DC2">
    <w:pPr>
      <w:pStyle w:val="Encabezado"/>
      <w:rPr>
        <w:noProof/>
      </w:rPr>
    </w:pPr>
  </w:p>
  <w:p w:rsidR="004B3DC2" w:rsidRDefault="004B3DC2" w:rsidP="004B3DC2">
    <w:pPr>
      <w:pStyle w:val="Encabezado"/>
      <w:jc w:val="center"/>
    </w:pPr>
    <w:r>
      <w:rPr>
        <w:rFonts w:ascii="Monotype Corsiva" w:hAnsi="Monotype Corsiva"/>
        <w:b/>
        <w:sz w:val="44"/>
        <w:szCs w:val="44"/>
      </w:rPr>
      <w:t xml:space="preserve">Resolución Nº   </w:t>
    </w:r>
    <w:r>
      <w:rPr>
        <w:rFonts w:ascii="Tahoma" w:hAnsi="Tahoma" w:cs="Tahoma"/>
        <w:b/>
        <w:sz w:val="44"/>
        <w:szCs w:val="44"/>
      </w:rPr>
      <w:t>175-2011-TC-S1</w:t>
    </w:r>
  </w:p>
  <w:p w:rsidR="004B3DC2" w:rsidRDefault="004B3DC2">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45921"/>
    <w:multiLevelType w:val="hybridMultilevel"/>
    <w:tmpl w:val="99888066"/>
    <w:lvl w:ilvl="0" w:tplc="3D7E8B80">
      <w:start w:val="1"/>
      <w:numFmt w:val="decimal"/>
      <w:lvlText w:val="%1."/>
      <w:lvlJc w:val="left"/>
      <w:pPr>
        <w:tabs>
          <w:tab w:val="num" w:pos="720"/>
        </w:tabs>
        <w:ind w:left="720" w:hanging="360"/>
      </w:pPr>
      <w:rPr>
        <w:b/>
        <w:bCs/>
      </w:rPr>
    </w:lvl>
    <w:lvl w:ilvl="1" w:tplc="0C0A0019">
      <w:start w:val="1"/>
      <w:numFmt w:val="lowerLetter"/>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
    <w:nsid w:val="19087D5E"/>
    <w:multiLevelType w:val="hybridMultilevel"/>
    <w:tmpl w:val="485AFD0C"/>
    <w:lvl w:ilvl="0" w:tplc="83AA7116">
      <w:start w:val="1"/>
      <w:numFmt w:val="decimal"/>
      <w:lvlText w:val="%1."/>
      <w:lvlJc w:val="left"/>
      <w:pPr>
        <w:tabs>
          <w:tab w:val="num" w:pos="720"/>
        </w:tabs>
        <w:ind w:left="720" w:hanging="360"/>
      </w:pPr>
      <w:rPr>
        <w:b/>
        <w:bCs/>
        <w:sz w:val="20"/>
        <w:szCs w:val="2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
    <w:nsid w:val="2A604CF2"/>
    <w:multiLevelType w:val="hybridMultilevel"/>
    <w:tmpl w:val="2102CA88"/>
    <w:lvl w:ilvl="0" w:tplc="6B2870C4">
      <w:start w:val="1"/>
      <w:numFmt w:val="decimal"/>
      <w:lvlText w:val="%1)"/>
      <w:lvlJc w:val="left"/>
      <w:pPr>
        <w:tabs>
          <w:tab w:val="num" w:pos="720"/>
        </w:tabs>
        <w:ind w:left="720" w:hanging="360"/>
      </w:pPr>
      <w:rPr>
        <w:sz w:val="16"/>
        <w:szCs w:val="16"/>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
    <w:nsid w:val="2E970C2A"/>
    <w:multiLevelType w:val="hybridMultilevel"/>
    <w:tmpl w:val="3724E4FE"/>
    <w:lvl w:ilvl="0" w:tplc="420E700E">
      <w:start w:val="1"/>
      <w:numFmt w:val="lowerRoman"/>
      <w:lvlText w:val="%1)"/>
      <w:lvlJc w:val="left"/>
      <w:pPr>
        <w:tabs>
          <w:tab w:val="num" w:pos="1428"/>
        </w:tabs>
        <w:ind w:left="1428" w:hanging="720"/>
      </w:pPr>
      <w:rPr>
        <w:rFonts w:hint="default"/>
      </w:rPr>
    </w:lvl>
    <w:lvl w:ilvl="1" w:tplc="0C0A0019">
      <w:start w:val="1"/>
      <w:numFmt w:val="lowerLetter"/>
      <w:lvlText w:val="%2."/>
      <w:lvlJc w:val="left"/>
      <w:pPr>
        <w:tabs>
          <w:tab w:val="num" w:pos="1788"/>
        </w:tabs>
        <w:ind w:left="1788" w:hanging="360"/>
      </w:pPr>
    </w:lvl>
    <w:lvl w:ilvl="2" w:tplc="0C0A001B">
      <w:start w:val="1"/>
      <w:numFmt w:val="lowerRoman"/>
      <w:lvlText w:val="%3."/>
      <w:lvlJc w:val="right"/>
      <w:pPr>
        <w:tabs>
          <w:tab w:val="num" w:pos="2508"/>
        </w:tabs>
        <w:ind w:left="2508" w:hanging="180"/>
      </w:pPr>
    </w:lvl>
    <w:lvl w:ilvl="3" w:tplc="0C0A000F">
      <w:start w:val="1"/>
      <w:numFmt w:val="decimal"/>
      <w:lvlText w:val="%4."/>
      <w:lvlJc w:val="left"/>
      <w:pPr>
        <w:tabs>
          <w:tab w:val="num" w:pos="3228"/>
        </w:tabs>
        <w:ind w:left="3228" w:hanging="360"/>
      </w:pPr>
    </w:lvl>
    <w:lvl w:ilvl="4" w:tplc="0C0A0019">
      <w:start w:val="1"/>
      <w:numFmt w:val="lowerLetter"/>
      <w:lvlText w:val="%5."/>
      <w:lvlJc w:val="left"/>
      <w:pPr>
        <w:tabs>
          <w:tab w:val="num" w:pos="3948"/>
        </w:tabs>
        <w:ind w:left="3948" w:hanging="360"/>
      </w:pPr>
    </w:lvl>
    <w:lvl w:ilvl="5" w:tplc="0C0A001B">
      <w:start w:val="1"/>
      <w:numFmt w:val="lowerRoman"/>
      <w:lvlText w:val="%6."/>
      <w:lvlJc w:val="right"/>
      <w:pPr>
        <w:tabs>
          <w:tab w:val="num" w:pos="4668"/>
        </w:tabs>
        <w:ind w:left="4668" w:hanging="180"/>
      </w:pPr>
    </w:lvl>
    <w:lvl w:ilvl="6" w:tplc="0C0A000F">
      <w:start w:val="1"/>
      <w:numFmt w:val="decimal"/>
      <w:lvlText w:val="%7."/>
      <w:lvlJc w:val="left"/>
      <w:pPr>
        <w:tabs>
          <w:tab w:val="num" w:pos="5388"/>
        </w:tabs>
        <w:ind w:left="5388" w:hanging="360"/>
      </w:pPr>
    </w:lvl>
    <w:lvl w:ilvl="7" w:tplc="0C0A0019">
      <w:start w:val="1"/>
      <w:numFmt w:val="lowerLetter"/>
      <w:lvlText w:val="%8."/>
      <w:lvlJc w:val="left"/>
      <w:pPr>
        <w:tabs>
          <w:tab w:val="num" w:pos="6108"/>
        </w:tabs>
        <w:ind w:left="6108" w:hanging="360"/>
      </w:pPr>
    </w:lvl>
    <w:lvl w:ilvl="8" w:tplc="0C0A001B">
      <w:start w:val="1"/>
      <w:numFmt w:val="lowerRoman"/>
      <w:lvlText w:val="%9."/>
      <w:lvlJc w:val="right"/>
      <w:pPr>
        <w:tabs>
          <w:tab w:val="num" w:pos="6828"/>
        </w:tabs>
        <w:ind w:left="6828" w:hanging="180"/>
      </w:pPr>
    </w:lvl>
  </w:abstractNum>
  <w:abstractNum w:abstractNumId="4">
    <w:nsid w:val="3CDF6F1B"/>
    <w:multiLevelType w:val="hybridMultilevel"/>
    <w:tmpl w:val="C5A8305A"/>
    <w:lvl w:ilvl="0" w:tplc="B1A6D17A">
      <w:start w:val="1"/>
      <w:numFmt w:val="lowerLetter"/>
      <w:lvlText w:val="%1)"/>
      <w:lvlJc w:val="left"/>
      <w:pPr>
        <w:ind w:left="1080" w:hanging="360"/>
      </w:pPr>
      <w:rPr>
        <w:rFonts w:cs="Times New Roman"/>
      </w:rPr>
    </w:lvl>
    <w:lvl w:ilvl="1" w:tplc="0C0A0019">
      <w:start w:val="1"/>
      <w:numFmt w:val="decimal"/>
      <w:lvlText w:val="%2."/>
      <w:lvlJc w:val="left"/>
      <w:pPr>
        <w:tabs>
          <w:tab w:val="num" w:pos="1440"/>
        </w:tabs>
        <w:ind w:left="1440" w:hanging="360"/>
      </w:pPr>
      <w:rPr>
        <w:rFonts w:cs="Times New Roman"/>
      </w:rPr>
    </w:lvl>
    <w:lvl w:ilvl="2" w:tplc="0C0A001B">
      <w:start w:val="1"/>
      <w:numFmt w:val="decimal"/>
      <w:lvlText w:val="%3."/>
      <w:lvlJc w:val="left"/>
      <w:pPr>
        <w:tabs>
          <w:tab w:val="num" w:pos="2160"/>
        </w:tabs>
        <w:ind w:left="216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decimal"/>
      <w:lvlText w:val="%5."/>
      <w:lvlJc w:val="left"/>
      <w:pPr>
        <w:tabs>
          <w:tab w:val="num" w:pos="3600"/>
        </w:tabs>
        <w:ind w:left="3600" w:hanging="360"/>
      </w:pPr>
      <w:rPr>
        <w:rFonts w:cs="Times New Roman"/>
      </w:rPr>
    </w:lvl>
    <w:lvl w:ilvl="5" w:tplc="0C0A001B">
      <w:start w:val="1"/>
      <w:numFmt w:val="decimal"/>
      <w:lvlText w:val="%6."/>
      <w:lvlJc w:val="left"/>
      <w:pPr>
        <w:tabs>
          <w:tab w:val="num" w:pos="4320"/>
        </w:tabs>
        <w:ind w:left="4320" w:hanging="36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decimal"/>
      <w:lvlText w:val="%8."/>
      <w:lvlJc w:val="left"/>
      <w:pPr>
        <w:tabs>
          <w:tab w:val="num" w:pos="5760"/>
        </w:tabs>
        <w:ind w:left="5760" w:hanging="360"/>
      </w:pPr>
      <w:rPr>
        <w:rFonts w:cs="Times New Roman"/>
      </w:rPr>
    </w:lvl>
    <w:lvl w:ilvl="8" w:tplc="0C0A001B">
      <w:start w:val="1"/>
      <w:numFmt w:val="decimal"/>
      <w:lvlText w:val="%9."/>
      <w:lvlJc w:val="left"/>
      <w:pPr>
        <w:tabs>
          <w:tab w:val="num" w:pos="6480"/>
        </w:tabs>
        <w:ind w:left="6480" w:hanging="360"/>
      </w:pPr>
      <w:rPr>
        <w:rFonts w:cs="Times New Roman"/>
      </w:rPr>
    </w:lvl>
  </w:abstractNum>
  <w:abstractNum w:abstractNumId="5">
    <w:nsid w:val="4ADA5249"/>
    <w:multiLevelType w:val="multilevel"/>
    <w:tmpl w:val="29DEB438"/>
    <w:lvl w:ilvl="0">
      <w:start w:val="1"/>
      <w:numFmt w:val="decimal"/>
      <w:lvlText w:val="%1."/>
      <w:lvlJc w:val="left"/>
      <w:pPr>
        <w:tabs>
          <w:tab w:val="num" w:pos="360"/>
        </w:tabs>
        <w:ind w:left="36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
    <w:nsid w:val="5B3E1F50"/>
    <w:multiLevelType w:val="hybridMultilevel"/>
    <w:tmpl w:val="D00A945A"/>
    <w:lvl w:ilvl="0" w:tplc="8EA03CE0">
      <w:start w:val="1"/>
      <w:numFmt w:val="decimal"/>
      <w:lvlText w:val="%1."/>
      <w:lvlJc w:val="right"/>
      <w:pPr>
        <w:ind w:left="720" w:hanging="360"/>
      </w:pPr>
      <w:rPr>
        <w:rFonts w:ascii="Tahoma" w:hAnsi="Tahoma" w:hint="default"/>
        <w:b/>
        <w:bCs/>
        <w:i w:val="0"/>
        <w:iCs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
    <w:nsid w:val="60AB42CA"/>
    <w:multiLevelType w:val="hybridMultilevel"/>
    <w:tmpl w:val="EAFC767E"/>
    <w:lvl w:ilvl="0" w:tplc="8EA03CE0">
      <w:start w:val="1"/>
      <w:numFmt w:val="decimal"/>
      <w:lvlText w:val="%1."/>
      <w:lvlJc w:val="right"/>
      <w:pPr>
        <w:ind w:left="720" w:hanging="360"/>
      </w:pPr>
      <w:rPr>
        <w:rFonts w:ascii="Tahoma" w:hAnsi="Tahoma" w:hint="default"/>
        <w:b/>
        <w:bCs/>
        <w:i w:val="0"/>
        <w:iCs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2"/>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3074"/>
  </w:hdrShapeDefaults>
  <w:footnotePr>
    <w:footnote w:id="0"/>
    <w:footnote w:id="1"/>
  </w:footnotePr>
  <w:endnotePr>
    <w:endnote w:id="0"/>
    <w:endnote w:id="1"/>
  </w:endnotePr>
  <w:compat/>
  <w:rsids>
    <w:rsidRoot w:val="00675FD1"/>
    <w:rsid w:val="00025121"/>
    <w:rsid w:val="00033D90"/>
    <w:rsid w:val="002F04BB"/>
    <w:rsid w:val="004B3DC2"/>
    <w:rsid w:val="00542A63"/>
    <w:rsid w:val="00550380"/>
    <w:rsid w:val="0058027F"/>
    <w:rsid w:val="0066645E"/>
    <w:rsid w:val="00675FD1"/>
    <w:rsid w:val="007F4D7A"/>
    <w:rsid w:val="0096071E"/>
    <w:rsid w:val="00D64E12"/>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5FD1"/>
    <w:pPr>
      <w:spacing w:after="0" w:line="240" w:lineRule="auto"/>
    </w:pPr>
    <w:rPr>
      <w:rFonts w:ascii="Times New Roman" w:eastAsia="Times New Roman" w:hAnsi="Times New Roman" w:cs="Times New Roman"/>
      <w:sz w:val="20"/>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675FD1"/>
    <w:pPr>
      <w:widowControl w:val="0"/>
      <w:tabs>
        <w:tab w:val="center" w:pos="4252"/>
        <w:tab w:val="right" w:pos="8504"/>
      </w:tabs>
      <w:suppressAutoHyphens/>
    </w:pPr>
    <w:rPr>
      <w:sz w:val="24"/>
      <w:lang w:val="es-ES_tradnl"/>
    </w:rPr>
  </w:style>
  <w:style w:type="character" w:customStyle="1" w:styleId="PiedepginaCar">
    <w:name w:val="Pie de página Car"/>
    <w:basedOn w:val="Fuentedeprrafopredeter"/>
    <w:link w:val="Piedepgina"/>
    <w:rsid w:val="00675FD1"/>
    <w:rPr>
      <w:rFonts w:ascii="Times New Roman" w:eastAsia="Times New Roman" w:hAnsi="Times New Roman" w:cs="Times New Roman"/>
      <w:sz w:val="24"/>
      <w:szCs w:val="20"/>
      <w:lang w:val="es-ES_tradnl" w:eastAsia="es-ES"/>
    </w:rPr>
  </w:style>
  <w:style w:type="character" w:styleId="Nmerodepgina">
    <w:name w:val="page number"/>
    <w:basedOn w:val="Fuentedeprrafopredeter"/>
    <w:rsid w:val="00675FD1"/>
  </w:style>
  <w:style w:type="paragraph" w:styleId="Textoindependiente">
    <w:name w:val="Body Text"/>
    <w:basedOn w:val="Normal"/>
    <w:link w:val="TextoindependienteCar"/>
    <w:rsid w:val="00675FD1"/>
    <w:pPr>
      <w:widowControl w:val="0"/>
      <w:suppressAutoHyphens/>
      <w:jc w:val="both"/>
    </w:pPr>
    <w:rPr>
      <w:rFonts w:ascii="Tahoma" w:hAnsi="Tahoma"/>
      <w:sz w:val="22"/>
      <w:lang w:val="es-ES_tradnl"/>
    </w:rPr>
  </w:style>
  <w:style w:type="character" w:customStyle="1" w:styleId="TextoindependienteCar">
    <w:name w:val="Texto independiente Car"/>
    <w:basedOn w:val="Fuentedeprrafopredeter"/>
    <w:link w:val="Textoindependiente"/>
    <w:rsid w:val="00675FD1"/>
    <w:rPr>
      <w:rFonts w:ascii="Tahoma" w:eastAsia="Times New Roman" w:hAnsi="Tahoma" w:cs="Times New Roman"/>
      <w:szCs w:val="20"/>
      <w:lang w:val="es-ES_tradnl" w:eastAsia="es-ES"/>
    </w:rPr>
  </w:style>
  <w:style w:type="paragraph" w:customStyle="1" w:styleId="Textoindependiente21">
    <w:name w:val="Texto independiente 21"/>
    <w:basedOn w:val="Normal"/>
    <w:rsid w:val="00675FD1"/>
    <w:pPr>
      <w:jc w:val="both"/>
    </w:pPr>
    <w:rPr>
      <w:rFonts w:ascii="Tahoma" w:hAnsi="Tahoma"/>
      <w:sz w:val="22"/>
    </w:rPr>
  </w:style>
  <w:style w:type="paragraph" w:styleId="Textoindependiente3">
    <w:name w:val="Body Text 3"/>
    <w:basedOn w:val="Normal"/>
    <w:link w:val="Textoindependiente3Car"/>
    <w:rsid w:val="00675FD1"/>
    <w:pPr>
      <w:spacing w:after="120"/>
    </w:pPr>
    <w:rPr>
      <w:sz w:val="16"/>
      <w:szCs w:val="16"/>
      <w:lang w:val="es-PE"/>
    </w:rPr>
  </w:style>
  <w:style w:type="character" w:customStyle="1" w:styleId="Textoindependiente3Car">
    <w:name w:val="Texto independiente 3 Car"/>
    <w:basedOn w:val="Fuentedeprrafopredeter"/>
    <w:link w:val="Textoindependiente3"/>
    <w:rsid w:val="00675FD1"/>
    <w:rPr>
      <w:rFonts w:ascii="Times New Roman" w:eastAsia="Times New Roman" w:hAnsi="Times New Roman" w:cs="Times New Roman"/>
      <w:sz w:val="16"/>
      <w:szCs w:val="16"/>
      <w:lang w:val="es-PE" w:eastAsia="es-ES"/>
    </w:rPr>
  </w:style>
  <w:style w:type="paragraph" w:styleId="Textonotapie">
    <w:name w:val="footnote text"/>
    <w:aliases w:val="Car,Car Car,Texto nota pie1,Car4,Texto independiente1, Car, Car4,Body Text"/>
    <w:basedOn w:val="Normal"/>
    <w:link w:val="TextonotapieCar"/>
    <w:semiHidden/>
    <w:rsid w:val="00675FD1"/>
  </w:style>
  <w:style w:type="character" w:customStyle="1" w:styleId="TextonotapieCar">
    <w:name w:val="Texto nota pie Car"/>
    <w:aliases w:val="Car Car1,Car Car Car,Texto nota pie1 Car,Car4 Car,Texto independiente1 Car, Car Car, Car4 Car,Body Text Car"/>
    <w:basedOn w:val="Fuentedeprrafopredeter"/>
    <w:link w:val="Textonotapie"/>
    <w:semiHidden/>
    <w:rsid w:val="00675FD1"/>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rsid w:val="00675FD1"/>
    <w:rPr>
      <w:vertAlign w:val="superscript"/>
    </w:rPr>
  </w:style>
  <w:style w:type="paragraph" w:styleId="Prrafodelista">
    <w:name w:val="List Paragraph"/>
    <w:basedOn w:val="Normal"/>
    <w:uiPriority w:val="99"/>
    <w:qFormat/>
    <w:rsid w:val="00675FD1"/>
    <w:pPr>
      <w:widowControl w:val="0"/>
      <w:suppressAutoHyphens/>
      <w:ind w:left="708"/>
    </w:pPr>
    <w:rPr>
      <w:rFonts w:ascii="Tahoma" w:hAnsi="Tahoma" w:cs="Tahoma"/>
      <w:sz w:val="24"/>
      <w:szCs w:val="24"/>
      <w:lang w:val="es-ES_tradnl"/>
    </w:rPr>
  </w:style>
  <w:style w:type="paragraph" w:styleId="NormalWeb">
    <w:name w:val="Normal (Web)"/>
    <w:basedOn w:val="Normal"/>
    <w:rsid w:val="00675FD1"/>
    <w:pPr>
      <w:spacing w:before="100" w:beforeAutospacing="1" w:after="100" w:afterAutospacing="1"/>
    </w:pPr>
    <w:rPr>
      <w:rFonts w:eastAsia="Calibri"/>
      <w:sz w:val="24"/>
      <w:szCs w:val="24"/>
    </w:rPr>
  </w:style>
  <w:style w:type="paragraph" w:customStyle="1" w:styleId="Prrafodelista1">
    <w:name w:val="Párrafo de lista1"/>
    <w:basedOn w:val="Normal"/>
    <w:rsid w:val="00675FD1"/>
    <w:pPr>
      <w:ind w:left="720"/>
    </w:pPr>
    <w:rPr>
      <w:rFonts w:eastAsia="Calibri"/>
      <w:sz w:val="24"/>
      <w:szCs w:val="24"/>
    </w:rPr>
  </w:style>
  <w:style w:type="paragraph" w:styleId="Encabezado">
    <w:name w:val="header"/>
    <w:aliases w:val="maria,h"/>
    <w:basedOn w:val="Normal"/>
    <w:link w:val="EncabezadoCar"/>
    <w:uiPriority w:val="99"/>
    <w:semiHidden/>
    <w:unhideWhenUsed/>
    <w:rsid w:val="004B3DC2"/>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B3DC2"/>
    <w:rPr>
      <w:rFonts w:ascii="Times New Roman" w:eastAsia="Times New Roman" w:hAnsi="Times New Roman" w:cs="Times New Roman"/>
      <w:sz w:val="20"/>
      <w:szCs w:val="20"/>
      <w:lang w:eastAsia="es-ES"/>
    </w:rPr>
  </w:style>
</w:styles>
</file>

<file path=word/webSettings.xml><?xml version="1.0" encoding="utf-8"?>
<w:webSettings xmlns:r="http://schemas.openxmlformats.org/officeDocument/2006/relationships" xmlns:w="http://schemas.openxmlformats.org/wordprocessingml/2006/main">
  <w:divs>
    <w:div w:id="21076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8</Pages>
  <Words>3311</Words>
  <Characters>18215</Characters>
  <Application>Microsoft Office Word</Application>
  <DocSecurity>0</DocSecurity>
  <Lines>151</Lines>
  <Paragraphs>42</Paragraphs>
  <ScaleCrop>false</ScaleCrop>
  <Company/>
  <LinksUpToDate>false</LinksUpToDate>
  <CharactersWithSpaces>21484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jcabrera</dc:creator>
  <cp:keywords/>
  <dc:description/>
  <cp:lastModifiedBy>bcaceres</cp:lastModifiedBy>
  <cp:revision>7</cp:revision>
  <cp:lastPrinted>2011-02-01T22:19:00Z</cp:lastPrinted>
  <dcterms:created xsi:type="dcterms:W3CDTF">2011-02-01T22:05:00Z</dcterms:created>
  <dcterms:modified xsi:type="dcterms:W3CDTF">2011-03-07T16:34:00Z</dcterms:modified>
</cp:coreProperties>
</file>